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D1064" w14:textId="2D2ED0EB" w:rsidR="0063230D" w:rsidRPr="0063230D" w:rsidRDefault="0063230D" w:rsidP="00A37CE6">
      <w:pPr>
        <w:jc w:val="center"/>
        <w:rPr>
          <w:rFonts w:ascii="Aptos Display" w:hAnsi="Aptos Display" w:cs="Aptos Display"/>
          <w:b/>
          <w:bCs/>
          <w:noProof/>
          <w:lang w:val="sr-Latn-RS"/>
        </w:rPr>
      </w:pPr>
      <w:r w:rsidRPr="0063230D">
        <w:rPr>
          <w:rFonts w:ascii="Aptos Display" w:hAnsi="Aptos Display" w:cs="Aptos Display"/>
          <w:b/>
          <w:bCs/>
          <w:noProof/>
          <w:lang w:val="sr-Latn-RS"/>
        </w:rPr>
        <w:t>Projekat</w:t>
      </w:r>
    </w:p>
    <w:p w14:paraId="19EA8A99" w14:textId="77777777" w:rsidR="0063230D" w:rsidRPr="00BD0519" w:rsidRDefault="0063230D" w:rsidP="0063230D">
      <w:pPr>
        <w:spacing w:after="0"/>
        <w:jc w:val="center"/>
        <w:rPr>
          <w:rFonts w:ascii="Aptos Display" w:hAnsi="Aptos Display" w:cs="Aptos Display"/>
          <w:b/>
          <w:bCs/>
          <w:noProof/>
          <w:color w:val="215E99" w:themeColor="text2" w:themeTint="BF"/>
          <w:sz w:val="28"/>
          <w:szCs w:val="28"/>
          <w:lang w:val="sr-Latn-RS"/>
        </w:rPr>
      </w:pPr>
      <w:r w:rsidRPr="00BD0519">
        <w:rPr>
          <w:rFonts w:ascii="Aptos Display" w:hAnsi="Aptos Display" w:cs="Aptos Display"/>
          <w:b/>
          <w:bCs/>
          <w:noProof/>
          <w:color w:val="215E99" w:themeColor="text2" w:themeTint="BF"/>
          <w:sz w:val="28"/>
          <w:szCs w:val="28"/>
          <w:lang w:val="sr-Latn-RS"/>
        </w:rPr>
        <w:t xml:space="preserve">,,Socio-ekonomsko osnaživanje mladih djevojaka i momaka </w:t>
      </w:r>
    </w:p>
    <w:p w14:paraId="55D3C0E2" w14:textId="77777777" w:rsidR="0063230D" w:rsidRPr="00BC27BE" w:rsidRDefault="0063230D" w:rsidP="0063230D">
      <w:pPr>
        <w:spacing w:after="0"/>
        <w:jc w:val="center"/>
        <w:rPr>
          <w:rFonts w:ascii="Aptos Display" w:hAnsi="Aptos Display" w:cs="Aptos Display"/>
          <w:b/>
          <w:bCs/>
          <w:noProof/>
          <w:color w:val="215E99" w:themeColor="text2" w:themeTint="BF"/>
          <w:sz w:val="28"/>
          <w:szCs w:val="28"/>
          <w:lang w:val="sr-Latn-RS"/>
        </w:rPr>
      </w:pPr>
      <w:r w:rsidRPr="00BC27BE">
        <w:rPr>
          <w:rFonts w:ascii="Aptos Display" w:hAnsi="Aptos Display" w:cs="Aptos Display"/>
          <w:b/>
          <w:bCs/>
          <w:noProof/>
          <w:color w:val="215E99" w:themeColor="text2" w:themeTint="BF"/>
          <w:sz w:val="28"/>
          <w:szCs w:val="28"/>
          <w:lang w:val="sr-Latn-RS"/>
        </w:rPr>
        <w:t>kroz efikasne omladinske servise”</w:t>
      </w:r>
    </w:p>
    <w:p w14:paraId="2F860085" w14:textId="0E374AE7" w:rsidR="00BC27BE" w:rsidRDefault="008A1214" w:rsidP="008A1214">
      <w:pPr>
        <w:numPr>
          <w:ilvl w:val="0"/>
          <w:numId w:val="9"/>
        </w:numPr>
        <w:spacing w:after="0"/>
        <w:jc w:val="center"/>
        <w:rPr>
          <w:rFonts w:ascii="Aptos Display" w:hAnsi="Aptos Display" w:cs="Aptos Display"/>
          <w:noProof/>
          <w:sz w:val="28"/>
          <w:szCs w:val="28"/>
          <w:lang w:val="sr-Latn-RS"/>
        </w:rPr>
      </w:pPr>
      <w:r w:rsidRPr="008A1214">
        <w:rPr>
          <w:rFonts w:ascii="Aptos Display" w:hAnsi="Aptos Display" w:cs="Aptos Display"/>
          <w:noProof/>
          <w:sz w:val="28"/>
          <w:szCs w:val="28"/>
          <w:lang w:val="sr-Latn-RS"/>
        </w:rPr>
        <w:t xml:space="preserve">Izvještaj o </w:t>
      </w:r>
      <w:r w:rsidR="0028738B">
        <w:rPr>
          <w:rFonts w:ascii="Aptos Display" w:hAnsi="Aptos Display" w:cs="Aptos Display"/>
          <w:noProof/>
          <w:sz w:val="28"/>
          <w:szCs w:val="28"/>
          <w:lang w:val="sr-Latn-RS"/>
        </w:rPr>
        <w:t xml:space="preserve">sprovedenim aktivnostima i </w:t>
      </w:r>
      <w:r w:rsidRPr="008A1214">
        <w:rPr>
          <w:rFonts w:ascii="Aptos Display" w:hAnsi="Aptos Display" w:cs="Aptos Display"/>
          <w:noProof/>
          <w:sz w:val="28"/>
          <w:szCs w:val="28"/>
          <w:lang w:val="sr-Latn-RS"/>
        </w:rPr>
        <w:t>postignutim rezultatima</w:t>
      </w:r>
      <w:r w:rsidR="00BC27BE">
        <w:rPr>
          <w:rFonts w:ascii="Aptos Display" w:hAnsi="Aptos Display" w:cs="Aptos Display"/>
          <w:noProof/>
          <w:sz w:val="28"/>
          <w:szCs w:val="28"/>
          <w:lang w:val="sr-Latn-RS"/>
        </w:rPr>
        <w:t xml:space="preserve"> -</w:t>
      </w:r>
    </w:p>
    <w:p w14:paraId="04A083AD" w14:textId="19831A5A" w:rsidR="008A1214" w:rsidRPr="008A1214" w:rsidRDefault="00BC27BE" w:rsidP="008A1214">
      <w:pPr>
        <w:numPr>
          <w:ilvl w:val="0"/>
          <w:numId w:val="9"/>
        </w:numPr>
        <w:spacing w:after="0"/>
        <w:jc w:val="center"/>
        <w:rPr>
          <w:rFonts w:ascii="Aptos Display" w:hAnsi="Aptos Display" w:cs="Aptos Display"/>
          <w:noProof/>
          <w:sz w:val="28"/>
          <w:szCs w:val="28"/>
          <w:lang w:val="sr-Latn-RS"/>
        </w:rPr>
      </w:pPr>
      <w:r>
        <w:rPr>
          <w:rFonts w:ascii="Aptos Display" w:hAnsi="Aptos Display" w:cs="Aptos Display"/>
          <w:noProof/>
          <w:sz w:val="28"/>
          <w:szCs w:val="28"/>
          <w:lang w:val="sr-Latn-RS"/>
        </w:rPr>
        <w:t>Plan za naredni period</w:t>
      </w:r>
      <w:r w:rsidR="008A1214">
        <w:rPr>
          <w:rFonts w:ascii="Aptos Display" w:hAnsi="Aptos Display" w:cs="Aptos Display"/>
          <w:noProof/>
          <w:sz w:val="28"/>
          <w:szCs w:val="28"/>
          <w:lang w:val="sr-Latn-RS"/>
        </w:rPr>
        <w:t xml:space="preserve"> - </w:t>
      </w:r>
    </w:p>
    <w:p w14:paraId="5AE12DEC" w14:textId="77777777" w:rsidR="0063230D" w:rsidRPr="0063230D" w:rsidRDefault="0063230D" w:rsidP="0063230D">
      <w:pPr>
        <w:spacing w:after="0"/>
        <w:jc w:val="center"/>
        <w:rPr>
          <w:rFonts w:ascii="Aptos Display" w:hAnsi="Aptos Display" w:cs="Aptos Display"/>
          <w:noProof/>
          <w:sz w:val="28"/>
          <w:szCs w:val="28"/>
          <w:lang w:val="sr-Latn-RS"/>
        </w:rPr>
      </w:pPr>
    </w:p>
    <w:p w14:paraId="3B54C1AD" w14:textId="645DD07A" w:rsidR="00771B29" w:rsidRPr="0063230D" w:rsidRDefault="00FD7DA2" w:rsidP="004C3224">
      <w:pPr>
        <w:jc w:val="both"/>
        <w:rPr>
          <w:noProof/>
          <w:lang w:val="sr-Latn-RS"/>
        </w:rPr>
      </w:pPr>
      <w:r w:rsidRPr="0063230D">
        <w:rPr>
          <w:b/>
          <w:bCs/>
          <w:noProof/>
          <w:lang w:val="sr-Latn-RS"/>
        </w:rPr>
        <w:t>Cilj projekta</w:t>
      </w:r>
      <w:r w:rsidR="004C3224">
        <w:rPr>
          <w:noProof/>
          <w:lang w:val="sr-Latn-RS"/>
        </w:rPr>
        <w:t>:</w:t>
      </w:r>
      <w:r w:rsidRPr="0063230D">
        <w:rPr>
          <w:noProof/>
          <w:lang w:val="sr-Latn-RS"/>
        </w:rPr>
        <w:t xml:space="preserve"> socio-ekonomsko osnaživanje mladih kroz efikasne i kvalitetne omladinske servise i programe na lokalnom i nacionalnom nivou. Cilj se realizuje kroz razvoj politika i programa na lokalnom i nacionalnom nivou kao i unapređenje efikasnosti i obuhvata servisa i programa za mlade. Kao rezultat projekta, unaprijediće se međusektorska i međuresorsko saradnja za sprovođenje omladinskih politika i programa na lokalnom i nacionalnom nivou, kao i efikasnost i obuhvat servisa i programa za osnaživanje mladih na lokalnom nivou.</w:t>
      </w:r>
    </w:p>
    <w:p w14:paraId="3D96CEEF" w14:textId="40926511" w:rsidR="00031C9E" w:rsidRDefault="00031C9E" w:rsidP="004C3224">
      <w:pPr>
        <w:jc w:val="both"/>
        <w:rPr>
          <w:noProof/>
          <w:lang w:val="sr-Latn-RS"/>
        </w:rPr>
      </w:pPr>
      <w:r w:rsidRPr="004C3224">
        <w:rPr>
          <w:b/>
          <w:bCs/>
          <w:noProof/>
          <w:lang w:val="sr-Latn-RS"/>
        </w:rPr>
        <w:t>Vremenski okvir:</w:t>
      </w:r>
      <w:r w:rsidRPr="004C3224">
        <w:rPr>
          <w:noProof/>
          <w:lang w:val="sr-Latn-RS"/>
        </w:rPr>
        <w:t xml:space="preserve"> januar 2022 – </w:t>
      </w:r>
      <w:r w:rsidR="00BB56FA">
        <w:rPr>
          <w:noProof/>
          <w:lang w:val="sr-Latn-RS"/>
        </w:rPr>
        <w:t>decembar</w:t>
      </w:r>
      <w:r w:rsidR="00525D58" w:rsidRPr="004C3224">
        <w:rPr>
          <w:noProof/>
          <w:lang w:val="sr-Latn-RS"/>
        </w:rPr>
        <w:t xml:space="preserve"> </w:t>
      </w:r>
      <w:r w:rsidR="00BB56FA">
        <w:rPr>
          <w:noProof/>
          <w:lang w:val="sr-Latn-RS"/>
        </w:rPr>
        <w:t>2026</w:t>
      </w:r>
      <w:r w:rsidR="00525D58" w:rsidRPr="004C3224">
        <w:rPr>
          <w:noProof/>
          <w:lang w:val="sr-Latn-RS"/>
        </w:rPr>
        <w:t>.</w:t>
      </w:r>
    </w:p>
    <w:p w14:paraId="6B450717" w14:textId="229CD094" w:rsidR="00BB56FA" w:rsidRDefault="00BB56FA" w:rsidP="00BD0519">
      <w:pPr>
        <w:spacing w:after="0"/>
        <w:jc w:val="center"/>
        <w:rPr>
          <w:rFonts w:ascii="Aptos Display" w:hAnsi="Aptos Display" w:cs="Aptos Display"/>
          <w:b/>
          <w:bCs/>
          <w:noProof/>
          <w:color w:val="215E99" w:themeColor="text2" w:themeTint="BF"/>
          <w:lang w:val="sr-Latn-RS"/>
        </w:rPr>
      </w:pPr>
      <w:r w:rsidRPr="00BD0519">
        <w:rPr>
          <w:rFonts w:ascii="Aptos Display" w:hAnsi="Aptos Display" w:cs="Aptos Display"/>
          <w:b/>
          <w:bCs/>
          <w:noProof/>
          <w:color w:val="215E99" w:themeColor="text2" w:themeTint="BF"/>
          <w:lang w:val="sr-Latn-RS"/>
        </w:rPr>
        <w:t>Ključni rezultati u periodu 2025–2026.</w:t>
      </w:r>
    </w:p>
    <w:p w14:paraId="6D87C4AA" w14:textId="77777777" w:rsidR="00BD0519" w:rsidRPr="00BD0519" w:rsidRDefault="00BD0519" w:rsidP="00BD0519">
      <w:pPr>
        <w:spacing w:after="0"/>
        <w:jc w:val="center"/>
        <w:rPr>
          <w:rFonts w:ascii="Aptos Display" w:hAnsi="Aptos Display" w:cs="Aptos Display"/>
          <w:b/>
          <w:bCs/>
          <w:noProof/>
          <w:color w:val="215E99" w:themeColor="text2" w:themeTint="BF"/>
          <w:lang w:val="sr-Latn-RS"/>
        </w:rPr>
      </w:pPr>
    </w:p>
    <w:p w14:paraId="522DF2FE" w14:textId="2C669B49" w:rsidR="00BB56FA" w:rsidRPr="00BB56FA" w:rsidRDefault="00BB56FA" w:rsidP="00BB56FA">
      <w:pPr>
        <w:jc w:val="both"/>
        <w:rPr>
          <w:noProof/>
          <w:lang w:val="en-GB"/>
        </w:rPr>
      </w:pPr>
      <w:r w:rsidRPr="00BB56FA">
        <w:rPr>
          <w:noProof/>
          <w:lang w:val="en-GB"/>
        </w:rPr>
        <w:t>Period 2025–2026</w:t>
      </w:r>
      <w:r>
        <w:rPr>
          <w:noProof/>
          <w:lang w:val="en-GB"/>
        </w:rPr>
        <w:t>.</w:t>
      </w:r>
      <w:r w:rsidRPr="00BB56FA">
        <w:rPr>
          <w:noProof/>
          <w:lang w:val="en-GB"/>
        </w:rPr>
        <w:t xml:space="preserve"> obilježen je značajnim koracima u razvoju omladinske politike u Crnoj Gori. Nakon što je završen </w:t>
      </w:r>
      <w:r w:rsidRPr="00BB56FA">
        <w:rPr>
          <w:b/>
          <w:bCs/>
          <w:noProof/>
          <w:lang w:val="en-GB"/>
        </w:rPr>
        <w:t>Izvještaj o sprovođenju Akcionog plana 2023–2024</w:t>
      </w:r>
      <w:r w:rsidRPr="00BB56FA">
        <w:rPr>
          <w:noProof/>
          <w:lang w:val="en-GB"/>
        </w:rPr>
        <w:t>, dobi</w:t>
      </w:r>
      <w:r>
        <w:rPr>
          <w:noProof/>
          <w:lang w:val="en-GB"/>
        </w:rPr>
        <w:t xml:space="preserve">jena je </w:t>
      </w:r>
      <w:r w:rsidRPr="00BB56FA">
        <w:rPr>
          <w:noProof/>
          <w:lang w:val="en-GB"/>
        </w:rPr>
        <w:t xml:space="preserve"> jasn</w:t>
      </w:r>
      <w:r>
        <w:rPr>
          <w:noProof/>
          <w:lang w:val="en-GB"/>
        </w:rPr>
        <w:t>a</w:t>
      </w:r>
      <w:r w:rsidRPr="00BB56FA">
        <w:rPr>
          <w:noProof/>
          <w:lang w:val="en-GB"/>
        </w:rPr>
        <w:t xml:space="preserve"> slik</w:t>
      </w:r>
      <w:r>
        <w:rPr>
          <w:noProof/>
          <w:lang w:val="en-GB"/>
        </w:rPr>
        <w:t>a</w:t>
      </w:r>
      <w:r w:rsidRPr="00BB56FA">
        <w:rPr>
          <w:noProof/>
          <w:lang w:val="en-GB"/>
        </w:rPr>
        <w:t xml:space="preserve"> o tome šta je urađeno, gdje su ostvareni najveći pomaci i koje oblasti zahtijevaju dodatnu pažnju. Ovaj dokument postao je osnova za kreiranje novog </w:t>
      </w:r>
      <w:r w:rsidRPr="00BB56FA">
        <w:rPr>
          <w:b/>
          <w:bCs/>
          <w:noProof/>
          <w:lang w:val="en-GB"/>
        </w:rPr>
        <w:t>Akcionog plana za mlade 2025–2026,</w:t>
      </w:r>
      <w:r w:rsidRPr="00BB56FA">
        <w:rPr>
          <w:noProof/>
          <w:lang w:val="en-GB"/>
        </w:rPr>
        <w:t xml:space="preserve"> koji je </w:t>
      </w:r>
      <w:r>
        <w:rPr>
          <w:noProof/>
          <w:lang w:val="en-GB"/>
        </w:rPr>
        <w:t>definisao naredne</w:t>
      </w:r>
      <w:r w:rsidRPr="00BB56FA">
        <w:rPr>
          <w:noProof/>
          <w:lang w:val="en-GB"/>
        </w:rPr>
        <w:t xml:space="preserve"> ciljeve i konkretne mjere za unapređenje položaja mladih.</w:t>
      </w:r>
    </w:p>
    <w:p w14:paraId="47CFDB01" w14:textId="5E23CF30" w:rsidR="00BB56FA" w:rsidRPr="00BB56FA" w:rsidRDefault="00BB56FA" w:rsidP="00BB56FA">
      <w:pPr>
        <w:jc w:val="both"/>
        <w:rPr>
          <w:noProof/>
          <w:lang w:val="en-GB"/>
        </w:rPr>
      </w:pPr>
      <w:r w:rsidRPr="00BB56FA">
        <w:rPr>
          <w:noProof/>
          <w:lang w:val="en-GB"/>
        </w:rPr>
        <w:t xml:space="preserve">Poseban fokus stavljen je na </w:t>
      </w:r>
      <w:r w:rsidRPr="00BB56FA">
        <w:rPr>
          <w:b/>
          <w:bCs/>
          <w:noProof/>
          <w:lang w:val="en-GB"/>
        </w:rPr>
        <w:t>Evaluaciju EYC programa 2022–2024</w:t>
      </w:r>
      <w:r w:rsidRPr="00BB56FA">
        <w:rPr>
          <w:noProof/>
          <w:lang w:val="en-GB"/>
        </w:rPr>
        <w:t xml:space="preserve">. Analizom se sagledalo koliko je Evropska omladinska kartica bila korisna mladima, koliko je doprinijela njihovoj mobilnosti i pristupu </w:t>
      </w:r>
      <w:r>
        <w:rPr>
          <w:noProof/>
          <w:lang w:val="en-GB"/>
        </w:rPr>
        <w:t>benefitima</w:t>
      </w:r>
      <w:r w:rsidRPr="00BB56FA">
        <w:rPr>
          <w:noProof/>
          <w:lang w:val="en-GB"/>
        </w:rPr>
        <w:t>. Na osnovu tih nalaza razvijen</w:t>
      </w:r>
      <w:r>
        <w:rPr>
          <w:noProof/>
          <w:lang w:val="en-GB"/>
        </w:rPr>
        <w:t xml:space="preserve"> je i usvojen </w:t>
      </w:r>
      <w:r w:rsidRPr="00BB56FA">
        <w:rPr>
          <w:b/>
          <w:bCs/>
          <w:noProof/>
          <w:lang w:val="en-GB"/>
        </w:rPr>
        <w:t>novi EYC program 2025–2027,</w:t>
      </w:r>
      <w:r w:rsidRPr="00BB56FA">
        <w:rPr>
          <w:noProof/>
          <w:lang w:val="en-GB"/>
        </w:rPr>
        <w:t xml:space="preserve"> koji donosi inovacije i širi mogućnosti za mlade, čineći karticu još relevantnijim alatom za njihovo osnaživanje.</w:t>
      </w:r>
    </w:p>
    <w:p w14:paraId="0C11A250" w14:textId="49B79670" w:rsidR="00BB56FA" w:rsidRPr="00BB56FA" w:rsidRDefault="00BB56FA" w:rsidP="00BB56FA">
      <w:pPr>
        <w:jc w:val="both"/>
        <w:rPr>
          <w:noProof/>
          <w:lang w:val="en-GB"/>
        </w:rPr>
      </w:pPr>
      <w:r w:rsidRPr="00BB56FA">
        <w:rPr>
          <w:noProof/>
          <w:lang w:val="en-GB"/>
        </w:rPr>
        <w:t xml:space="preserve">Jedan od najvećih iskoraka bio je izrada novog </w:t>
      </w:r>
      <w:r w:rsidRPr="00BB56FA">
        <w:rPr>
          <w:b/>
          <w:bCs/>
          <w:noProof/>
          <w:lang w:val="en-GB"/>
        </w:rPr>
        <w:t>Zakona o mladima</w:t>
      </w:r>
      <w:r w:rsidRPr="00BB56FA">
        <w:rPr>
          <w:noProof/>
          <w:lang w:val="en-GB"/>
        </w:rPr>
        <w:t xml:space="preserve">. Ovaj zakon </w:t>
      </w:r>
      <w:r w:rsidR="00912BC8">
        <w:rPr>
          <w:noProof/>
          <w:lang w:val="en-GB"/>
        </w:rPr>
        <w:t>unapređuje</w:t>
      </w:r>
      <w:r w:rsidRPr="00BB56FA">
        <w:rPr>
          <w:noProof/>
          <w:lang w:val="en-GB"/>
        </w:rPr>
        <w:t xml:space="preserve"> pravni okvir</w:t>
      </w:r>
      <w:r w:rsidR="00912BC8">
        <w:rPr>
          <w:noProof/>
          <w:lang w:val="en-GB"/>
        </w:rPr>
        <w:t xml:space="preserve"> u oblasti</w:t>
      </w:r>
      <w:r w:rsidRPr="00BB56FA">
        <w:rPr>
          <w:noProof/>
          <w:lang w:val="en-GB"/>
        </w:rPr>
        <w:t xml:space="preserve"> omladinsk</w:t>
      </w:r>
      <w:r w:rsidR="00912BC8">
        <w:rPr>
          <w:noProof/>
          <w:lang w:val="en-GB"/>
        </w:rPr>
        <w:t>e</w:t>
      </w:r>
      <w:r w:rsidRPr="00BB56FA">
        <w:rPr>
          <w:noProof/>
          <w:lang w:val="en-GB"/>
        </w:rPr>
        <w:t xml:space="preserve"> politi</w:t>
      </w:r>
      <w:r w:rsidR="00912BC8">
        <w:rPr>
          <w:noProof/>
          <w:lang w:val="en-GB"/>
        </w:rPr>
        <w:t>ke</w:t>
      </w:r>
      <w:r w:rsidRPr="00BB56FA">
        <w:rPr>
          <w:noProof/>
          <w:lang w:val="en-GB"/>
        </w:rPr>
        <w:t>,</w:t>
      </w:r>
      <w:r w:rsidR="00912BC8">
        <w:rPr>
          <w:noProof/>
          <w:lang w:val="en-GB"/>
        </w:rPr>
        <w:t xml:space="preserve"> precizira mehanizme podrške participaciji mladih, finansiranju programa i servisa za mlade, </w:t>
      </w:r>
      <w:r w:rsidRPr="00BB56FA">
        <w:rPr>
          <w:noProof/>
          <w:lang w:val="en-GB"/>
        </w:rPr>
        <w:t xml:space="preserve"> </w:t>
      </w:r>
      <w:r w:rsidR="00912BC8">
        <w:rPr>
          <w:noProof/>
          <w:lang w:val="en-GB"/>
        </w:rPr>
        <w:t>te značajno unapređuje međusektorsku saradnju i koherentnost omladinske politike, te institucionalnu stabilnost u nje</w:t>
      </w:r>
      <w:r w:rsidR="004A2CD4">
        <w:rPr>
          <w:noProof/>
          <w:lang w:val="en-GB"/>
        </w:rPr>
        <w:t>n</w:t>
      </w:r>
      <w:r w:rsidR="00912BC8">
        <w:rPr>
          <w:noProof/>
          <w:lang w:val="en-GB"/>
        </w:rPr>
        <w:t>om finansiranju i sprovođenju</w:t>
      </w:r>
      <w:r w:rsidRPr="00BB56FA">
        <w:rPr>
          <w:noProof/>
          <w:lang w:val="en-GB"/>
        </w:rPr>
        <w:t xml:space="preserve">. </w:t>
      </w:r>
      <w:r w:rsidR="00912BC8">
        <w:rPr>
          <w:noProof/>
          <w:lang w:val="en-GB"/>
        </w:rPr>
        <w:t xml:space="preserve">Zakon je pripreman </w:t>
      </w:r>
      <w:r w:rsidR="004A2CD4">
        <w:rPr>
          <w:noProof/>
          <w:lang w:val="en-GB"/>
        </w:rPr>
        <w:t xml:space="preserve">na osnovu detaljne analize, sagledsavanja uporednih praksi iz zemalja regiona i EU, kao i pripreme više scenarija za ključna rješenja. Takođe, osim učešća radne grupe u izradi Zakona, u </w:t>
      </w:r>
      <w:r w:rsidR="00912BC8">
        <w:rPr>
          <w:noProof/>
          <w:lang w:val="en-GB"/>
        </w:rPr>
        <w:t xml:space="preserve">konsultacije </w:t>
      </w:r>
      <w:r w:rsidR="004A2CD4">
        <w:rPr>
          <w:noProof/>
          <w:lang w:val="en-GB"/>
        </w:rPr>
        <w:t xml:space="preserve">vezano za zakonska rješenja uključeno je </w:t>
      </w:r>
      <w:r w:rsidR="00912BC8">
        <w:rPr>
          <w:noProof/>
          <w:lang w:val="en-GB"/>
        </w:rPr>
        <w:t xml:space="preserve">preko </w:t>
      </w:r>
      <w:r w:rsidR="002A0689">
        <w:rPr>
          <w:noProof/>
          <w:lang w:val="en-GB"/>
        </w:rPr>
        <w:t>30 institucija  i organizacija.</w:t>
      </w:r>
    </w:p>
    <w:p w14:paraId="793923F9" w14:textId="77777777" w:rsidR="00A37CE6" w:rsidRDefault="00A37CE6" w:rsidP="00BB56FA">
      <w:pPr>
        <w:jc w:val="both"/>
        <w:rPr>
          <w:noProof/>
          <w:lang w:val="en-GB"/>
        </w:rPr>
      </w:pPr>
    </w:p>
    <w:p w14:paraId="1B8C8E96" w14:textId="775E56E9" w:rsidR="00BB56FA" w:rsidRDefault="00BB56FA" w:rsidP="00BB56FA">
      <w:pPr>
        <w:jc w:val="both"/>
        <w:rPr>
          <w:noProof/>
          <w:lang w:val="en-GB"/>
        </w:rPr>
      </w:pPr>
      <w:r w:rsidRPr="00BB56FA">
        <w:rPr>
          <w:noProof/>
          <w:lang w:val="en-GB"/>
        </w:rPr>
        <w:t xml:space="preserve">Podrška Ministarstvu u </w:t>
      </w:r>
      <w:r w:rsidRPr="00912BC8">
        <w:rPr>
          <w:b/>
          <w:bCs/>
          <w:noProof/>
          <w:lang w:val="en-GB"/>
        </w:rPr>
        <w:t>strateškom planiranju za period 2026–2027</w:t>
      </w:r>
      <w:r w:rsidR="00912BC8">
        <w:rPr>
          <w:noProof/>
          <w:lang w:val="en-GB"/>
        </w:rPr>
        <w:t>.</w:t>
      </w:r>
      <w:r w:rsidRPr="00BB56FA">
        <w:rPr>
          <w:noProof/>
          <w:lang w:val="en-GB"/>
        </w:rPr>
        <w:t xml:space="preserve"> bila je ključna za mapiranje prioriteta, usklađivanje aktivnosti i izbjegavanje preklapanja. Postignuta koherentnost u planiranju garantuje da će omladinska politika biti efikasno sprovođena i da će resursi biti usmjereni tamo gdje su najpotrebniji.</w:t>
      </w:r>
      <w:r w:rsidR="006C57DD">
        <w:rPr>
          <w:noProof/>
          <w:lang w:val="en-GB"/>
        </w:rPr>
        <w:t xml:space="preserve"> </w:t>
      </w:r>
    </w:p>
    <w:p w14:paraId="3302AEDF" w14:textId="33505275" w:rsidR="004F1F19" w:rsidRPr="00BB56FA" w:rsidRDefault="004F1F19" w:rsidP="00BB56FA">
      <w:pPr>
        <w:jc w:val="both"/>
        <w:rPr>
          <w:noProof/>
          <w:lang w:val="en-GB"/>
        </w:rPr>
      </w:pPr>
      <w:r>
        <w:rPr>
          <w:noProof/>
          <w:lang w:val="en-GB"/>
        </w:rPr>
        <w:t xml:space="preserve">Kroz projekat je </w:t>
      </w:r>
      <w:r w:rsidRPr="004F1F19">
        <w:rPr>
          <w:b/>
          <w:bCs/>
          <w:noProof/>
          <w:lang w:val="en-GB"/>
        </w:rPr>
        <w:t>podržano osnivanje omladinskih servisa</w:t>
      </w:r>
      <w:r>
        <w:rPr>
          <w:noProof/>
          <w:lang w:val="en-GB"/>
        </w:rPr>
        <w:t xml:space="preserve"> u Plužinama i Zeti, kroz nabavku opreme i namještaja.</w:t>
      </w:r>
    </w:p>
    <w:p w14:paraId="7A46DAD1" w14:textId="1320C379" w:rsidR="00BB56FA" w:rsidRPr="00BB56FA" w:rsidRDefault="00BB56FA" w:rsidP="00BB56FA">
      <w:pPr>
        <w:jc w:val="both"/>
        <w:rPr>
          <w:noProof/>
          <w:lang w:val="en-GB"/>
        </w:rPr>
      </w:pPr>
      <w:r w:rsidRPr="00BB56FA">
        <w:rPr>
          <w:noProof/>
          <w:lang w:val="en-GB"/>
        </w:rPr>
        <w:t>Na kraju, važan korak bio je podr</w:t>
      </w:r>
      <w:r w:rsidR="00912BC8">
        <w:rPr>
          <w:noProof/>
          <w:lang w:val="en-GB"/>
        </w:rPr>
        <w:t>ška</w:t>
      </w:r>
      <w:r w:rsidRPr="00BB56FA">
        <w:rPr>
          <w:noProof/>
          <w:lang w:val="en-GB"/>
        </w:rPr>
        <w:t xml:space="preserve"> realizacij</w:t>
      </w:r>
      <w:r w:rsidR="00912BC8">
        <w:rPr>
          <w:noProof/>
          <w:lang w:val="en-GB"/>
        </w:rPr>
        <w:t>i</w:t>
      </w:r>
      <w:r w:rsidRPr="00BB56FA">
        <w:rPr>
          <w:noProof/>
          <w:lang w:val="en-GB"/>
        </w:rPr>
        <w:t xml:space="preserve"> </w:t>
      </w:r>
      <w:r w:rsidRPr="00912BC8">
        <w:rPr>
          <w:b/>
          <w:bCs/>
          <w:noProof/>
          <w:lang w:val="en-GB"/>
        </w:rPr>
        <w:t>Garancije za mlade</w:t>
      </w:r>
      <w:r w:rsidRPr="00BB56FA">
        <w:rPr>
          <w:noProof/>
          <w:lang w:val="en-GB"/>
        </w:rPr>
        <w:t>. Kreiran je vizuelni identitet i logo, pripremljeni su nacrti brošura za mlade i NVO, koji čekaju finalne inpute</w:t>
      </w:r>
      <w:r w:rsidR="00912BC8">
        <w:rPr>
          <w:noProof/>
          <w:lang w:val="en-GB"/>
        </w:rPr>
        <w:t xml:space="preserve"> nadležnih institucija</w:t>
      </w:r>
      <w:r w:rsidRPr="00BB56FA">
        <w:rPr>
          <w:noProof/>
          <w:lang w:val="en-GB"/>
        </w:rPr>
        <w:t>. Ovi komunikacioni alati doprinose boljoj vidljivosti i razumijevanju Garancije, kao mehanizma koji mladima pruža sigurnost da će imati pristup obrazovanju, obuci ili zaposlenju</w:t>
      </w:r>
      <w:r w:rsidR="00912BC8">
        <w:rPr>
          <w:noProof/>
          <w:lang w:val="en-GB"/>
        </w:rPr>
        <w:t>.</w:t>
      </w:r>
    </w:p>
    <w:p w14:paraId="38B74E56" w14:textId="39383C9C" w:rsidR="00BB56FA" w:rsidRPr="00BD0519" w:rsidRDefault="00BB56FA" w:rsidP="00BD0519">
      <w:pPr>
        <w:spacing w:after="0"/>
        <w:jc w:val="center"/>
        <w:rPr>
          <w:rFonts w:ascii="Aptos Display" w:hAnsi="Aptos Display" w:cs="Aptos Display"/>
          <w:b/>
          <w:bCs/>
          <w:noProof/>
          <w:color w:val="215E99" w:themeColor="text2" w:themeTint="BF"/>
          <w:lang w:val="sr-Latn-RS"/>
        </w:rPr>
      </w:pPr>
    </w:p>
    <w:p w14:paraId="5D8D6C6E" w14:textId="3E0BD33D" w:rsidR="00FD7DA2" w:rsidRDefault="00912BC8" w:rsidP="00BD0519">
      <w:pPr>
        <w:spacing w:after="0"/>
        <w:jc w:val="center"/>
        <w:rPr>
          <w:rFonts w:ascii="Aptos Display" w:hAnsi="Aptos Display" w:cs="Aptos Display"/>
          <w:b/>
          <w:bCs/>
          <w:noProof/>
          <w:color w:val="215E99" w:themeColor="text2" w:themeTint="BF"/>
          <w:lang w:val="sr-Latn-RS"/>
        </w:rPr>
      </w:pPr>
      <w:r w:rsidRPr="00BD0519">
        <w:rPr>
          <w:rFonts w:ascii="Aptos Display" w:hAnsi="Aptos Display" w:cs="Aptos Display"/>
          <w:b/>
          <w:bCs/>
          <w:noProof/>
          <w:color w:val="215E99" w:themeColor="text2" w:themeTint="BF"/>
          <w:lang w:val="sr-Latn-RS"/>
        </w:rPr>
        <w:t>Pregled sveukupnih k</w:t>
      </w:r>
      <w:r w:rsidR="00FD7DA2" w:rsidRPr="00BD0519">
        <w:rPr>
          <w:rFonts w:ascii="Aptos Display" w:hAnsi="Aptos Display" w:cs="Aptos Display"/>
          <w:b/>
          <w:bCs/>
          <w:noProof/>
          <w:color w:val="215E99" w:themeColor="text2" w:themeTint="BF"/>
          <w:lang w:val="sr-Latn-RS"/>
        </w:rPr>
        <w:t>ljučni</w:t>
      </w:r>
      <w:r w:rsidRPr="00BD0519">
        <w:rPr>
          <w:rFonts w:ascii="Aptos Display" w:hAnsi="Aptos Display" w:cs="Aptos Display"/>
          <w:b/>
          <w:bCs/>
          <w:noProof/>
          <w:color w:val="215E99" w:themeColor="text2" w:themeTint="BF"/>
          <w:lang w:val="sr-Latn-RS"/>
        </w:rPr>
        <w:t>h</w:t>
      </w:r>
      <w:r w:rsidR="00FD7DA2" w:rsidRPr="00BD0519">
        <w:rPr>
          <w:rFonts w:ascii="Aptos Display" w:hAnsi="Aptos Display" w:cs="Aptos Display"/>
          <w:b/>
          <w:bCs/>
          <w:noProof/>
          <w:color w:val="215E99" w:themeColor="text2" w:themeTint="BF"/>
          <w:lang w:val="sr-Latn-RS"/>
        </w:rPr>
        <w:t xml:space="preserve"> rezultat</w:t>
      </w:r>
      <w:r w:rsidRPr="00BD0519">
        <w:rPr>
          <w:rFonts w:ascii="Aptos Display" w:hAnsi="Aptos Display" w:cs="Aptos Display"/>
          <w:b/>
          <w:bCs/>
          <w:noProof/>
          <w:color w:val="215E99" w:themeColor="text2" w:themeTint="BF"/>
          <w:lang w:val="sr-Latn-RS"/>
        </w:rPr>
        <w:t>a</w:t>
      </w:r>
    </w:p>
    <w:p w14:paraId="2D5AA4D2" w14:textId="77777777" w:rsidR="00BD0519" w:rsidRPr="00BD0519" w:rsidRDefault="00BD0519" w:rsidP="00BD0519">
      <w:pPr>
        <w:spacing w:after="0"/>
        <w:jc w:val="center"/>
        <w:rPr>
          <w:rFonts w:ascii="Aptos Display" w:hAnsi="Aptos Display" w:cs="Aptos Display"/>
          <w:b/>
          <w:bCs/>
          <w:noProof/>
          <w:color w:val="215E99" w:themeColor="text2" w:themeTint="BF"/>
          <w:lang w:val="sr-Latn-RS"/>
        </w:rPr>
      </w:pPr>
    </w:p>
    <w:p w14:paraId="1585AE5A" w14:textId="77777777" w:rsidR="005A2376" w:rsidRPr="0063230D" w:rsidRDefault="005A2376" w:rsidP="005A2376">
      <w:pPr>
        <w:numPr>
          <w:ilvl w:val="0"/>
          <w:numId w:val="7"/>
        </w:numPr>
        <w:jc w:val="both"/>
        <w:rPr>
          <w:noProof/>
          <w:lang w:val="sr-Latn-RS"/>
        </w:rPr>
      </w:pPr>
      <w:r w:rsidRPr="0063230D">
        <w:rPr>
          <w:noProof/>
          <w:lang w:val="sr-Latn-RS"/>
        </w:rPr>
        <w:t>Podržana i unaprijeđena međuresorna i međusektorska saradnja kroz proces izrade Strategije za mlade</w:t>
      </w:r>
      <w:r w:rsidR="00105E44" w:rsidRPr="0063230D">
        <w:rPr>
          <w:noProof/>
          <w:lang w:val="sr-Latn-RS"/>
        </w:rPr>
        <w:t xml:space="preserve"> 2023-2027. godine</w:t>
      </w:r>
      <w:r w:rsidRPr="0063230D">
        <w:rPr>
          <w:noProof/>
          <w:lang w:val="sr-Latn-RS"/>
        </w:rPr>
        <w:t xml:space="preserve">, uz učešće </w:t>
      </w:r>
      <w:r w:rsidRPr="0063230D">
        <w:rPr>
          <w:b/>
          <w:bCs/>
          <w:noProof/>
          <w:lang w:val="sr-Latn-RS"/>
        </w:rPr>
        <w:t>23 člana radne grupe</w:t>
      </w:r>
      <w:r w:rsidRPr="0063230D">
        <w:rPr>
          <w:noProof/>
          <w:lang w:val="sr-Latn-RS"/>
        </w:rPr>
        <w:t xml:space="preserve"> iz </w:t>
      </w:r>
      <w:r w:rsidRPr="0063230D">
        <w:rPr>
          <w:b/>
          <w:bCs/>
          <w:noProof/>
          <w:lang w:val="sr-Latn-RS"/>
        </w:rPr>
        <w:t>21 institucije i organizacije</w:t>
      </w:r>
      <w:r w:rsidRPr="0063230D">
        <w:rPr>
          <w:noProof/>
          <w:lang w:val="sr-Latn-RS"/>
        </w:rPr>
        <w:t>.</w:t>
      </w:r>
    </w:p>
    <w:p w14:paraId="447E65DF" w14:textId="77777777" w:rsidR="005A2376" w:rsidRPr="0063230D" w:rsidRDefault="005A2376" w:rsidP="005A2376">
      <w:pPr>
        <w:numPr>
          <w:ilvl w:val="0"/>
          <w:numId w:val="7"/>
        </w:numPr>
        <w:jc w:val="both"/>
        <w:rPr>
          <w:noProof/>
          <w:lang w:val="sr-Latn-RS"/>
        </w:rPr>
      </w:pPr>
      <w:r w:rsidRPr="0063230D">
        <w:rPr>
          <w:noProof/>
          <w:lang w:val="sr-Latn-RS"/>
        </w:rPr>
        <w:t xml:space="preserve">Pripremljen </w:t>
      </w:r>
      <w:r w:rsidRPr="0063230D">
        <w:rPr>
          <w:b/>
          <w:bCs/>
          <w:noProof/>
          <w:lang w:val="sr-Latn-RS"/>
        </w:rPr>
        <w:t>Izvještaj o realizaciji Strategije za mlade 2017-2021</w:t>
      </w:r>
      <w:r w:rsidRPr="0063230D">
        <w:rPr>
          <w:noProof/>
          <w:lang w:val="sr-Latn-RS"/>
        </w:rPr>
        <w:t xml:space="preserve"> na 100 strana, zasnovan na analizi rezultata i preporukama za Strategiju 2023-2027.</w:t>
      </w:r>
    </w:p>
    <w:p w14:paraId="4016F82D" w14:textId="7E73C239" w:rsidR="005A2376" w:rsidRPr="0063230D" w:rsidRDefault="005A2376" w:rsidP="005A2376">
      <w:pPr>
        <w:numPr>
          <w:ilvl w:val="0"/>
          <w:numId w:val="7"/>
        </w:numPr>
        <w:jc w:val="both"/>
        <w:rPr>
          <w:noProof/>
          <w:lang w:val="sr-Latn-RS"/>
        </w:rPr>
      </w:pPr>
      <w:r w:rsidRPr="0063230D">
        <w:rPr>
          <w:b/>
          <w:bCs/>
          <w:noProof/>
          <w:lang w:val="sr-Latn-RS"/>
        </w:rPr>
        <w:t>Pripremljena i usvojena Strategija za mlade 2023-2027</w:t>
      </w:r>
      <w:r w:rsidRPr="0063230D">
        <w:rPr>
          <w:noProof/>
          <w:lang w:val="sr-Latn-RS"/>
        </w:rPr>
        <w:t>, dokument obuhvata 140 strana</w:t>
      </w:r>
      <w:r w:rsidR="00656B5D" w:rsidRPr="0063230D">
        <w:rPr>
          <w:noProof/>
          <w:lang w:val="sr-Latn-RS"/>
        </w:rPr>
        <w:t xml:space="preserve"> i sljedeće oblasti: usklađenost sa drugim nacionalnim i internacionalnim strateškim dokumentima, analizu stanja položaja mladih, ključne probleme, uzroke i posljedice, ciljeve, mjere, monitoring i evaluaciju, indikatore učinka, kao i</w:t>
      </w:r>
      <w:r w:rsidRPr="0063230D">
        <w:rPr>
          <w:noProof/>
          <w:lang w:val="sr-Latn-RS"/>
        </w:rPr>
        <w:t xml:space="preserve"> </w:t>
      </w:r>
      <w:r w:rsidRPr="0063230D">
        <w:rPr>
          <w:b/>
          <w:bCs/>
          <w:noProof/>
          <w:lang w:val="sr-Latn-RS"/>
        </w:rPr>
        <w:t>Akcioni</w:t>
      </w:r>
      <w:r w:rsidR="00656B5D" w:rsidRPr="0063230D">
        <w:rPr>
          <w:b/>
          <w:bCs/>
          <w:noProof/>
          <w:lang w:val="sr-Latn-RS"/>
        </w:rPr>
        <w:t xml:space="preserve"> </w:t>
      </w:r>
      <w:r w:rsidRPr="0063230D">
        <w:rPr>
          <w:b/>
          <w:bCs/>
          <w:noProof/>
          <w:lang w:val="sr-Latn-RS"/>
        </w:rPr>
        <w:t>plan za 2023-2024. godinu</w:t>
      </w:r>
      <w:r w:rsidR="00656B5D" w:rsidRPr="0063230D">
        <w:rPr>
          <w:b/>
          <w:bCs/>
          <w:noProof/>
          <w:lang w:val="sr-Latn-RS"/>
        </w:rPr>
        <w:t xml:space="preserve">. </w:t>
      </w:r>
    </w:p>
    <w:p w14:paraId="4C3B99DC" w14:textId="77777777" w:rsidR="005A2376" w:rsidRDefault="005A2376" w:rsidP="005A2376">
      <w:pPr>
        <w:numPr>
          <w:ilvl w:val="0"/>
          <w:numId w:val="7"/>
        </w:numPr>
        <w:jc w:val="both"/>
        <w:rPr>
          <w:noProof/>
          <w:lang w:val="sr-Latn-RS"/>
        </w:rPr>
      </w:pPr>
      <w:r w:rsidRPr="0063230D">
        <w:rPr>
          <w:noProof/>
          <w:lang w:val="sr-Latn-RS"/>
        </w:rPr>
        <w:t xml:space="preserve">Pripremljeni materijali za komuniciranje i promociju Strategije za mlade, uključujući </w:t>
      </w:r>
      <w:r w:rsidRPr="0063230D">
        <w:rPr>
          <w:b/>
          <w:bCs/>
          <w:noProof/>
          <w:lang w:val="sr-Latn-RS"/>
        </w:rPr>
        <w:t>1 sažetak strategije, brošuru, infografike, objave za društvene mreže i 1 animaciju</w:t>
      </w:r>
      <w:r w:rsidRPr="0063230D">
        <w:rPr>
          <w:noProof/>
          <w:lang w:val="sr-Latn-RS"/>
        </w:rPr>
        <w:t>.</w:t>
      </w:r>
    </w:p>
    <w:p w14:paraId="4C290668" w14:textId="54DB3ED9" w:rsidR="006D05C9" w:rsidRPr="006D05C9" w:rsidRDefault="006D05C9" w:rsidP="005A2376">
      <w:pPr>
        <w:numPr>
          <w:ilvl w:val="0"/>
          <w:numId w:val="7"/>
        </w:numPr>
        <w:jc w:val="both"/>
        <w:rPr>
          <w:b/>
          <w:bCs/>
          <w:noProof/>
          <w:lang w:val="sr-Latn-RS"/>
        </w:rPr>
      </w:pPr>
      <w:r>
        <w:rPr>
          <w:noProof/>
          <w:lang w:val="sr-Latn-RS"/>
        </w:rPr>
        <w:t xml:space="preserve">Strategija za mlade </w:t>
      </w:r>
      <w:r w:rsidRPr="006D05C9">
        <w:rPr>
          <w:b/>
          <w:bCs/>
          <w:noProof/>
          <w:lang w:val="sr-Latn-RS"/>
        </w:rPr>
        <w:t>prevedena na engleski i albanski jezik.</w:t>
      </w:r>
    </w:p>
    <w:p w14:paraId="2BA014A6" w14:textId="652B2BCD" w:rsidR="006D05C9" w:rsidRPr="0063230D" w:rsidRDefault="006D05C9" w:rsidP="005A2376">
      <w:pPr>
        <w:numPr>
          <w:ilvl w:val="0"/>
          <w:numId w:val="7"/>
        </w:numPr>
        <w:jc w:val="both"/>
        <w:rPr>
          <w:noProof/>
          <w:lang w:val="sr-Latn-RS"/>
        </w:rPr>
      </w:pPr>
      <w:r>
        <w:rPr>
          <w:noProof/>
          <w:lang w:val="sr-Latn-RS"/>
        </w:rPr>
        <w:t xml:space="preserve">Izrađen </w:t>
      </w:r>
      <w:r w:rsidRPr="006D05C9">
        <w:rPr>
          <w:b/>
          <w:bCs/>
          <w:noProof/>
          <w:lang w:val="sr-Latn-RS"/>
        </w:rPr>
        <w:t>web sajt za promociju Strategije za mlade</w:t>
      </w:r>
      <w:r>
        <w:rPr>
          <w:noProof/>
          <w:lang w:val="sr-Latn-RS"/>
        </w:rPr>
        <w:t xml:space="preserve"> na kojem se mogu pronaći svi relevantni </w:t>
      </w:r>
      <w:r w:rsidR="00BB56FA">
        <w:rPr>
          <w:noProof/>
          <w:lang w:val="sr-Latn-RS"/>
        </w:rPr>
        <w:t xml:space="preserve">i gorepomenuti </w:t>
      </w:r>
      <w:r>
        <w:rPr>
          <w:noProof/>
          <w:lang w:val="sr-Latn-RS"/>
        </w:rPr>
        <w:t xml:space="preserve">materijali – </w:t>
      </w:r>
      <w:hyperlink r:id="rId7" w:history="1">
        <w:r w:rsidRPr="00671894">
          <w:rPr>
            <w:rStyle w:val="Hyperlink"/>
            <w:noProof/>
            <w:lang w:val="sr-Latn-RS"/>
          </w:rPr>
          <w:t>www.strategijazamlade.me</w:t>
        </w:r>
      </w:hyperlink>
      <w:r>
        <w:rPr>
          <w:noProof/>
          <w:lang w:val="sr-Latn-RS"/>
        </w:rPr>
        <w:t xml:space="preserve"> .</w:t>
      </w:r>
    </w:p>
    <w:p w14:paraId="258A59A6" w14:textId="7C766EB5" w:rsidR="005A2376" w:rsidRPr="0063230D" w:rsidRDefault="005A2376" w:rsidP="005A2376">
      <w:pPr>
        <w:numPr>
          <w:ilvl w:val="0"/>
          <w:numId w:val="7"/>
        </w:numPr>
        <w:jc w:val="both"/>
        <w:rPr>
          <w:noProof/>
          <w:lang w:val="sr-Latn-RS"/>
        </w:rPr>
      </w:pPr>
      <w:r w:rsidRPr="0063230D">
        <w:rPr>
          <w:noProof/>
          <w:lang w:val="sr-Latn-RS"/>
        </w:rPr>
        <w:t xml:space="preserve">Podržani predstavnici </w:t>
      </w:r>
      <w:r w:rsidRPr="0063230D">
        <w:rPr>
          <w:b/>
          <w:bCs/>
          <w:noProof/>
          <w:lang w:val="sr-Latn-RS"/>
        </w:rPr>
        <w:t>17 lokalnih samouprava u kreiranju lokalnih planova akcije za mlade</w:t>
      </w:r>
      <w:r w:rsidRPr="0063230D">
        <w:rPr>
          <w:noProof/>
          <w:lang w:val="sr-Latn-RS"/>
        </w:rPr>
        <w:t>, kroz cjelodnevnu radionicu.</w:t>
      </w:r>
    </w:p>
    <w:p w14:paraId="479E0F25" w14:textId="7F777F2E" w:rsidR="005A2376" w:rsidRPr="0063230D" w:rsidRDefault="005A2376" w:rsidP="005A2376">
      <w:pPr>
        <w:numPr>
          <w:ilvl w:val="0"/>
          <w:numId w:val="7"/>
        </w:numPr>
        <w:jc w:val="both"/>
        <w:rPr>
          <w:noProof/>
          <w:lang w:val="sr-Latn-RS"/>
        </w:rPr>
      </w:pPr>
      <w:r w:rsidRPr="0063230D">
        <w:rPr>
          <w:noProof/>
          <w:lang w:val="sr-Latn-RS"/>
        </w:rPr>
        <w:t xml:space="preserve">Organizovana javna rasprava o nacrtu Strategije za mlade 2023–2027, uz učešće preko </w:t>
      </w:r>
      <w:r w:rsidRPr="0063230D">
        <w:rPr>
          <w:b/>
          <w:bCs/>
          <w:noProof/>
          <w:lang w:val="sr-Latn-RS"/>
        </w:rPr>
        <w:t>50 aktera, uključujući 16 nevladinih organizacija, 7 opština, 8 međunarodnih organizacija i 10 institucija.</w:t>
      </w:r>
    </w:p>
    <w:p w14:paraId="6DE9B12C" w14:textId="77777777" w:rsidR="00A37CE6" w:rsidRPr="00A37CE6" w:rsidRDefault="00A37CE6" w:rsidP="00A37CE6">
      <w:pPr>
        <w:ind w:left="750"/>
        <w:jc w:val="both"/>
        <w:rPr>
          <w:noProof/>
          <w:lang w:val="sr-Latn-RS"/>
        </w:rPr>
      </w:pPr>
    </w:p>
    <w:p w14:paraId="3D165252" w14:textId="77777777" w:rsidR="00A37CE6" w:rsidRPr="00A37CE6" w:rsidRDefault="00A37CE6" w:rsidP="00A37CE6">
      <w:pPr>
        <w:ind w:left="750"/>
        <w:jc w:val="both"/>
        <w:rPr>
          <w:noProof/>
          <w:lang w:val="sr-Latn-RS"/>
        </w:rPr>
      </w:pPr>
    </w:p>
    <w:p w14:paraId="15B7D01E" w14:textId="393EE650" w:rsidR="00132FE6" w:rsidRPr="0063230D" w:rsidRDefault="00846141" w:rsidP="00132FE6">
      <w:pPr>
        <w:numPr>
          <w:ilvl w:val="0"/>
          <w:numId w:val="7"/>
        </w:numPr>
        <w:jc w:val="both"/>
        <w:rPr>
          <w:noProof/>
          <w:lang w:val="sr-Latn-RS"/>
        </w:rPr>
      </w:pPr>
      <w:r w:rsidRPr="0063230D">
        <w:rPr>
          <w:b/>
          <w:bCs/>
          <w:noProof/>
          <w:lang w:val="sr-Latn-RS"/>
        </w:rPr>
        <w:t>Razvijen</w:t>
      </w:r>
      <w:r w:rsidR="00132FE6" w:rsidRPr="0063230D">
        <w:rPr>
          <w:b/>
          <w:bCs/>
          <w:noProof/>
          <w:lang w:val="sr-Latn-RS"/>
        </w:rPr>
        <w:t xml:space="preserve"> plan za promociju Strategije i mjera sadržanih u njoj</w:t>
      </w:r>
      <w:r w:rsidR="00132FE6" w:rsidRPr="0063230D">
        <w:rPr>
          <w:noProof/>
          <w:lang w:val="sr-Latn-RS"/>
        </w:rPr>
        <w:t xml:space="preserve"> čija realizacija je trajala </w:t>
      </w:r>
      <w:r w:rsidR="005A2376" w:rsidRPr="0063230D">
        <w:rPr>
          <w:noProof/>
          <w:lang w:val="sr-Latn-RS"/>
        </w:rPr>
        <w:t>od 13. avgusta do 18. septembra 2024.</w:t>
      </w:r>
      <w:r w:rsidR="00132FE6" w:rsidRPr="0063230D">
        <w:rPr>
          <w:noProof/>
          <w:lang w:val="sr-Latn-RS"/>
        </w:rPr>
        <w:t xml:space="preserve"> Objave su redovno plasira</w:t>
      </w:r>
      <w:r w:rsidR="000E3D53">
        <w:rPr>
          <w:noProof/>
          <w:lang w:val="sr-Latn-RS"/>
        </w:rPr>
        <w:t>n</w:t>
      </w:r>
      <w:r w:rsidR="00132FE6" w:rsidRPr="0063230D">
        <w:rPr>
          <w:noProof/>
          <w:lang w:val="sr-Latn-RS"/>
        </w:rPr>
        <w:t xml:space="preserve">e putem društvenih mreža Ministarstva sporta i mladih u saradnji sa UNDP i omladinskim servisima, koristeći različite formate poput infografika, video materijala, kako bi se osigurao širi doseg i veća vidljivost same Strategije. </w:t>
      </w:r>
    </w:p>
    <w:p w14:paraId="47B7C1ED" w14:textId="6E04E7DA" w:rsidR="0041148C" w:rsidRPr="0063230D" w:rsidRDefault="006D05C9" w:rsidP="0041148C">
      <w:pPr>
        <w:numPr>
          <w:ilvl w:val="0"/>
          <w:numId w:val="7"/>
        </w:numPr>
        <w:jc w:val="both"/>
        <w:rPr>
          <w:noProof/>
          <w:lang w:val="sr-Latn-RS"/>
        </w:rPr>
      </w:pPr>
      <w:r>
        <w:rPr>
          <w:b/>
          <w:bCs/>
          <w:noProof/>
          <w:lang w:val="sr-Latn-RS"/>
        </w:rPr>
        <w:t>Realizovana evaluacija</w:t>
      </w:r>
      <w:r w:rsidR="004E18AD" w:rsidRPr="0063230D">
        <w:rPr>
          <w:noProof/>
          <w:lang w:val="sr-Latn-RS"/>
        </w:rPr>
        <w:t xml:space="preserve"> </w:t>
      </w:r>
      <w:r w:rsidR="004E18AD" w:rsidRPr="0063230D">
        <w:rPr>
          <w:b/>
          <w:bCs/>
          <w:noProof/>
          <w:lang w:val="sr-Latn-RS"/>
        </w:rPr>
        <w:t>Programa razvoja e</w:t>
      </w:r>
      <w:r w:rsidR="0041148C" w:rsidRPr="0063230D">
        <w:rPr>
          <w:b/>
          <w:bCs/>
          <w:noProof/>
          <w:lang w:val="sr-Latn-RS"/>
        </w:rPr>
        <w:t xml:space="preserve">vropske omladinske kartice (EYCA) </w:t>
      </w:r>
      <w:r w:rsidR="004E18AD" w:rsidRPr="0063230D">
        <w:rPr>
          <w:b/>
          <w:bCs/>
          <w:noProof/>
          <w:lang w:val="sr-Latn-RS"/>
        </w:rPr>
        <w:t>za period od 2022-2024</w:t>
      </w:r>
      <w:r w:rsidR="0041148C" w:rsidRPr="0063230D">
        <w:rPr>
          <w:b/>
          <w:bCs/>
          <w:noProof/>
          <w:lang w:val="sr-Latn-RS"/>
        </w:rPr>
        <w:t>. godin</w:t>
      </w:r>
      <w:r w:rsidR="004E18AD" w:rsidRPr="0063230D">
        <w:rPr>
          <w:b/>
          <w:bCs/>
          <w:noProof/>
          <w:lang w:val="sr-Latn-RS"/>
        </w:rPr>
        <w:t>e</w:t>
      </w:r>
      <w:r w:rsidR="0041148C" w:rsidRPr="0063230D">
        <w:rPr>
          <w:noProof/>
          <w:lang w:val="sr-Latn-RS"/>
        </w:rPr>
        <w:t xml:space="preserve">, sa ciljem analize uspješnosti programa. Evaluacija </w:t>
      </w:r>
      <w:r w:rsidR="005D0DBB" w:rsidRPr="0063230D">
        <w:rPr>
          <w:noProof/>
          <w:lang w:val="sr-Latn-RS"/>
        </w:rPr>
        <w:t>je rezultirala</w:t>
      </w:r>
      <w:r w:rsidR="0041148C" w:rsidRPr="0063230D">
        <w:rPr>
          <w:noProof/>
          <w:lang w:val="sr-Latn-RS"/>
        </w:rPr>
        <w:t xml:space="preserve"> izradom izvještaja</w:t>
      </w:r>
      <w:r w:rsidR="005D0DBB" w:rsidRPr="0063230D">
        <w:rPr>
          <w:noProof/>
          <w:lang w:val="sr-Latn-RS"/>
        </w:rPr>
        <w:t xml:space="preserve"> koji</w:t>
      </w:r>
      <w:r>
        <w:rPr>
          <w:noProof/>
          <w:lang w:val="sr-Latn-RS"/>
        </w:rPr>
        <w:t xml:space="preserve"> je</w:t>
      </w:r>
      <w:r w:rsidR="005D0DBB" w:rsidRPr="0063230D">
        <w:rPr>
          <w:noProof/>
          <w:lang w:val="sr-Latn-RS"/>
        </w:rPr>
        <w:t xml:space="preserve"> </w:t>
      </w:r>
      <w:r>
        <w:rPr>
          <w:noProof/>
          <w:lang w:val="sr-Latn-RS"/>
        </w:rPr>
        <w:t>po</w:t>
      </w:r>
      <w:r w:rsidR="005D0DBB" w:rsidRPr="0063230D">
        <w:rPr>
          <w:noProof/>
          <w:lang w:val="sr-Latn-RS"/>
        </w:rPr>
        <w:t>služi</w:t>
      </w:r>
      <w:r>
        <w:rPr>
          <w:noProof/>
          <w:lang w:val="sr-Latn-RS"/>
        </w:rPr>
        <w:t>o</w:t>
      </w:r>
      <w:r w:rsidR="00B7156F" w:rsidRPr="0063230D">
        <w:rPr>
          <w:noProof/>
          <w:lang w:val="sr-Latn-RS"/>
        </w:rPr>
        <w:t xml:space="preserve"> kao</w:t>
      </w:r>
      <w:r w:rsidR="004E18AD" w:rsidRPr="0063230D">
        <w:rPr>
          <w:noProof/>
          <w:lang w:val="sr-Latn-RS"/>
        </w:rPr>
        <w:t xml:space="preserve"> osnova za izradu novog trogodišnjeg plana razvoja EYCA kartice. </w:t>
      </w:r>
    </w:p>
    <w:p w14:paraId="6F976F52" w14:textId="3A6C2329" w:rsidR="0041148C" w:rsidRDefault="006D05C9" w:rsidP="0041148C">
      <w:pPr>
        <w:numPr>
          <w:ilvl w:val="0"/>
          <w:numId w:val="7"/>
        </w:numPr>
        <w:jc w:val="both"/>
        <w:rPr>
          <w:noProof/>
          <w:lang w:val="sr-Latn-RS"/>
        </w:rPr>
      </w:pPr>
      <w:r>
        <w:rPr>
          <w:b/>
          <w:bCs/>
          <w:noProof/>
          <w:lang w:val="sr-Latn-RS"/>
        </w:rPr>
        <w:t xml:space="preserve">Izrađen </w:t>
      </w:r>
      <w:r w:rsidR="00BB56FA">
        <w:rPr>
          <w:b/>
          <w:bCs/>
          <w:noProof/>
          <w:lang w:val="sr-Latn-RS"/>
        </w:rPr>
        <w:t xml:space="preserve">i usvojen </w:t>
      </w:r>
      <w:hyperlink r:id="rId8" w:history="1">
        <w:r w:rsidRPr="00BB56FA">
          <w:rPr>
            <w:rStyle w:val="Hyperlink"/>
            <w:b/>
            <w:bCs/>
            <w:noProof/>
            <w:lang w:val="sr-Latn-RS"/>
          </w:rPr>
          <w:t xml:space="preserve">novi </w:t>
        </w:r>
        <w:r w:rsidR="0041148C" w:rsidRPr="00BB56FA">
          <w:rPr>
            <w:rStyle w:val="Hyperlink"/>
            <w:b/>
            <w:bCs/>
            <w:noProof/>
            <w:lang w:val="sr-Latn-RS"/>
          </w:rPr>
          <w:t>trogodišnj</w:t>
        </w:r>
        <w:r w:rsidRPr="00BB56FA">
          <w:rPr>
            <w:rStyle w:val="Hyperlink"/>
            <w:b/>
            <w:bCs/>
            <w:noProof/>
            <w:lang w:val="sr-Latn-RS"/>
          </w:rPr>
          <w:t>i</w:t>
        </w:r>
        <w:r w:rsidR="0041148C" w:rsidRPr="00BB56FA">
          <w:rPr>
            <w:rStyle w:val="Hyperlink"/>
            <w:b/>
            <w:bCs/>
            <w:noProof/>
            <w:lang w:val="sr-Latn-RS"/>
          </w:rPr>
          <w:t xml:space="preserve"> program</w:t>
        </w:r>
      </w:hyperlink>
      <w:r w:rsidR="0041148C" w:rsidRPr="0063230D">
        <w:rPr>
          <w:b/>
          <w:bCs/>
          <w:noProof/>
          <w:lang w:val="sr-Latn-RS"/>
        </w:rPr>
        <w:t xml:space="preserve"> razvoja EYC kartice</w:t>
      </w:r>
      <w:r>
        <w:rPr>
          <w:b/>
          <w:bCs/>
          <w:noProof/>
          <w:lang w:val="sr-Latn-RS"/>
        </w:rPr>
        <w:t xml:space="preserve"> 2025-2027</w:t>
      </w:r>
      <w:r w:rsidR="0041148C" w:rsidRPr="0063230D">
        <w:rPr>
          <w:noProof/>
          <w:lang w:val="sr-Latn-RS"/>
        </w:rPr>
        <w:t>, s</w:t>
      </w:r>
      <w:r w:rsidR="00BA5415" w:rsidRPr="0063230D">
        <w:rPr>
          <w:noProof/>
          <w:lang w:val="sr-Latn-RS"/>
        </w:rPr>
        <w:t>a</w:t>
      </w:r>
      <w:r w:rsidR="0041148C" w:rsidRPr="0063230D">
        <w:rPr>
          <w:noProof/>
          <w:lang w:val="sr-Latn-RS"/>
        </w:rPr>
        <w:t xml:space="preserve"> ciljem unapređenja</w:t>
      </w:r>
      <w:r w:rsidR="00BA5415" w:rsidRPr="0063230D">
        <w:rPr>
          <w:noProof/>
          <w:lang w:val="sr-Latn-RS"/>
        </w:rPr>
        <w:t xml:space="preserve"> razvoja</w:t>
      </w:r>
      <w:r w:rsidR="0041148C" w:rsidRPr="0063230D">
        <w:rPr>
          <w:noProof/>
          <w:lang w:val="sr-Latn-RS"/>
        </w:rPr>
        <w:t xml:space="preserve"> </w:t>
      </w:r>
      <w:hyperlink r:id="rId9" w:history="1">
        <w:r w:rsidR="0041148C" w:rsidRPr="00BB56FA">
          <w:rPr>
            <w:rStyle w:val="Hyperlink"/>
            <w:noProof/>
            <w:lang w:val="sr-Latn-RS"/>
          </w:rPr>
          <w:t>EYC programa u Crnoj Gori</w:t>
        </w:r>
        <w:r w:rsidR="00B7156F" w:rsidRPr="00BB56FA">
          <w:rPr>
            <w:rStyle w:val="Hyperlink"/>
            <w:noProof/>
            <w:lang w:val="sr-Latn-RS"/>
          </w:rPr>
          <w:t>.</w:t>
        </w:r>
      </w:hyperlink>
      <w:r w:rsidR="00B7156F" w:rsidRPr="0063230D">
        <w:rPr>
          <w:noProof/>
          <w:lang w:val="sr-Latn-RS"/>
        </w:rPr>
        <w:t xml:space="preserve"> </w:t>
      </w:r>
    </w:p>
    <w:p w14:paraId="366F99D1" w14:textId="194056BB" w:rsidR="006D05C9" w:rsidRPr="00BB56FA" w:rsidRDefault="006D05C9" w:rsidP="005C72FC">
      <w:pPr>
        <w:numPr>
          <w:ilvl w:val="0"/>
          <w:numId w:val="7"/>
        </w:numPr>
        <w:jc w:val="both"/>
        <w:rPr>
          <w:noProof/>
          <w:lang w:val="sr-Latn-RS"/>
        </w:rPr>
      </w:pPr>
      <w:r w:rsidRPr="006D05C9">
        <w:rPr>
          <w:b/>
          <w:bCs/>
          <w:noProof/>
          <w:lang w:val="sr-Latn-RS"/>
        </w:rPr>
        <w:t>Izrađen izvještaj o realizaciji Akcionog plana za mlade 2023-202</w:t>
      </w:r>
      <w:r w:rsidR="00BB56FA">
        <w:rPr>
          <w:b/>
          <w:bCs/>
          <w:noProof/>
          <w:lang w:val="sr-Latn-RS"/>
        </w:rPr>
        <w:t>4</w:t>
      </w:r>
      <w:r w:rsidRPr="006D05C9">
        <w:rPr>
          <w:b/>
          <w:bCs/>
          <w:noProof/>
          <w:lang w:val="sr-Latn-RS"/>
        </w:rPr>
        <w:t xml:space="preserve">. </w:t>
      </w:r>
    </w:p>
    <w:p w14:paraId="2D341C83" w14:textId="39F342BA" w:rsidR="00BB56FA" w:rsidRPr="006D05C9" w:rsidRDefault="00BB56FA" w:rsidP="00BB56FA">
      <w:pPr>
        <w:numPr>
          <w:ilvl w:val="0"/>
          <w:numId w:val="7"/>
        </w:numPr>
        <w:jc w:val="both"/>
        <w:rPr>
          <w:noProof/>
          <w:lang w:val="sr-Latn-RS"/>
        </w:rPr>
      </w:pPr>
      <w:r w:rsidRPr="006D05C9">
        <w:rPr>
          <w:b/>
          <w:bCs/>
          <w:noProof/>
          <w:lang w:val="sr-Latn-RS"/>
        </w:rPr>
        <w:t xml:space="preserve">Izrađen izvještaj o realizaciji Akcionog plana za mlade </w:t>
      </w:r>
      <w:r>
        <w:rPr>
          <w:b/>
          <w:bCs/>
          <w:noProof/>
          <w:lang w:val="sr-Latn-RS"/>
        </w:rPr>
        <w:t>za 2025. godinu</w:t>
      </w:r>
      <w:r w:rsidRPr="006D05C9">
        <w:rPr>
          <w:b/>
          <w:bCs/>
          <w:noProof/>
          <w:lang w:val="sr-Latn-RS"/>
        </w:rPr>
        <w:t xml:space="preserve">. </w:t>
      </w:r>
    </w:p>
    <w:p w14:paraId="4932EAFA" w14:textId="248FA9BE" w:rsidR="006D05C9" w:rsidRPr="006D05C9" w:rsidRDefault="006D05C9" w:rsidP="005C72FC">
      <w:pPr>
        <w:numPr>
          <w:ilvl w:val="0"/>
          <w:numId w:val="7"/>
        </w:numPr>
        <w:jc w:val="both"/>
        <w:rPr>
          <w:noProof/>
          <w:lang w:val="sr-Latn-RS"/>
        </w:rPr>
      </w:pPr>
      <w:r w:rsidRPr="006D05C9">
        <w:rPr>
          <w:b/>
          <w:bCs/>
          <w:noProof/>
          <w:lang w:val="sr-Latn-RS"/>
        </w:rPr>
        <w:t xml:space="preserve">Kreiran Akcioni plan za mlade 2025-2026, </w:t>
      </w:r>
      <w:r w:rsidRPr="006D05C9">
        <w:rPr>
          <w:noProof/>
          <w:lang w:val="sr-Latn-RS"/>
        </w:rPr>
        <w:t>na osnovu Strategije za mlade.</w:t>
      </w:r>
    </w:p>
    <w:p w14:paraId="5F16D26B" w14:textId="2272A048" w:rsidR="00BB56FA" w:rsidRPr="00BB56FA" w:rsidRDefault="00BB56FA" w:rsidP="00BB56FA">
      <w:pPr>
        <w:numPr>
          <w:ilvl w:val="0"/>
          <w:numId w:val="10"/>
        </w:numPr>
        <w:jc w:val="both"/>
        <w:rPr>
          <w:noProof/>
          <w:lang w:val="en-GB"/>
        </w:rPr>
      </w:pPr>
      <w:r w:rsidRPr="00BB56FA">
        <w:rPr>
          <w:noProof/>
          <w:lang w:val="en-GB"/>
        </w:rPr>
        <w:t xml:space="preserve">U partnerstvu sa organizacijama Forum MNE, Prazan Prostor i Biznis Centar, </w:t>
      </w:r>
      <w:r w:rsidRPr="00BB56FA">
        <w:rPr>
          <w:b/>
          <w:bCs/>
          <w:noProof/>
          <w:lang w:val="en-GB"/>
        </w:rPr>
        <w:t xml:space="preserve">osnaženo je </w:t>
      </w:r>
      <w:hyperlink r:id="rId10" w:history="1">
        <w:r w:rsidRPr="00BB56FA">
          <w:rPr>
            <w:rStyle w:val="Hyperlink"/>
            <w:b/>
            <w:bCs/>
            <w:noProof/>
            <w:lang w:val="en-GB"/>
          </w:rPr>
          <w:t>preko 1.400 mladih u 11 omladinskih servisa</w:t>
        </w:r>
      </w:hyperlink>
      <w:r w:rsidRPr="00BB56FA">
        <w:rPr>
          <w:b/>
          <w:bCs/>
          <w:noProof/>
          <w:lang w:val="en-GB"/>
        </w:rPr>
        <w:t xml:space="preserve"> </w:t>
      </w:r>
      <w:r w:rsidRPr="00BB56FA">
        <w:rPr>
          <w:noProof/>
          <w:lang w:val="en-GB"/>
        </w:rPr>
        <w:t>u oblastima učešća, zdravlja, kulture, informisanja, zapošljavanja, prevencije nasilja i govora mržnje.</w:t>
      </w:r>
    </w:p>
    <w:p w14:paraId="6CD3B6A5" w14:textId="77777777" w:rsidR="00BB56FA" w:rsidRDefault="00BB56FA" w:rsidP="00BB56FA">
      <w:pPr>
        <w:numPr>
          <w:ilvl w:val="0"/>
          <w:numId w:val="10"/>
        </w:numPr>
        <w:jc w:val="both"/>
        <w:rPr>
          <w:noProof/>
          <w:lang w:val="en-GB"/>
        </w:rPr>
      </w:pPr>
      <w:r>
        <w:rPr>
          <w:b/>
          <w:bCs/>
          <w:noProof/>
          <w:lang w:val="en-GB"/>
        </w:rPr>
        <w:t>Oj</w:t>
      </w:r>
      <w:r w:rsidRPr="00BB56FA">
        <w:rPr>
          <w:b/>
          <w:bCs/>
          <w:noProof/>
          <w:lang w:val="en-GB"/>
        </w:rPr>
        <w:t>ačani kapaciteti omladinskih administratora</w:t>
      </w:r>
      <w:r w:rsidRPr="00BB56FA">
        <w:rPr>
          <w:noProof/>
          <w:lang w:val="en-GB"/>
        </w:rPr>
        <w:t xml:space="preserve"> za sprovođenje omladinskog rada i upravljanje omladinskim servisima.</w:t>
      </w:r>
    </w:p>
    <w:p w14:paraId="0E4734B1" w14:textId="12FF88BC" w:rsidR="00BB56FA" w:rsidRDefault="00BB56FA" w:rsidP="00BB56FA">
      <w:pPr>
        <w:numPr>
          <w:ilvl w:val="0"/>
          <w:numId w:val="10"/>
        </w:numPr>
        <w:jc w:val="both"/>
        <w:rPr>
          <w:noProof/>
          <w:lang w:val="en-GB"/>
        </w:rPr>
      </w:pPr>
      <w:r w:rsidRPr="00BB56FA">
        <w:rPr>
          <w:noProof/>
          <w:lang w:val="en-GB"/>
        </w:rPr>
        <w:t xml:space="preserve">Izrađen novi </w:t>
      </w:r>
      <w:r w:rsidRPr="00912BC8">
        <w:rPr>
          <w:b/>
          <w:bCs/>
          <w:noProof/>
          <w:lang w:val="en-GB"/>
        </w:rPr>
        <w:t>Zakon o mladima</w:t>
      </w:r>
      <w:r w:rsidR="00912BC8">
        <w:rPr>
          <w:b/>
          <w:bCs/>
          <w:noProof/>
          <w:lang w:val="en-GB"/>
        </w:rPr>
        <w:t xml:space="preserve">, </w:t>
      </w:r>
      <w:r w:rsidR="00912BC8" w:rsidRPr="00912BC8">
        <w:rPr>
          <w:noProof/>
        </w:rPr>
        <w:t xml:space="preserve">koji  jača pravni okvir </w:t>
      </w:r>
      <w:r w:rsidR="00912BC8">
        <w:rPr>
          <w:noProof/>
        </w:rPr>
        <w:t xml:space="preserve">u obasti </w:t>
      </w:r>
      <w:r w:rsidR="00912BC8" w:rsidRPr="00912BC8">
        <w:rPr>
          <w:noProof/>
        </w:rPr>
        <w:t>omladinske politike, precizira podršku mladima i programe finansiranja, te unapređuje međusektorsku saradnju i institucionalnu stabilnost</w:t>
      </w:r>
      <w:r w:rsidRPr="00912BC8">
        <w:rPr>
          <w:noProof/>
          <w:lang w:val="en-GB"/>
        </w:rPr>
        <w:t>.</w:t>
      </w:r>
      <w:r w:rsidRPr="00BB56FA">
        <w:rPr>
          <w:noProof/>
          <w:lang w:val="en-GB"/>
        </w:rPr>
        <w:t xml:space="preserve"> </w:t>
      </w:r>
    </w:p>
    <w:p w14:paraId="01473AF7" w14:textId="3A68EAA7" w:rsidR="00BB56FA" w:rsidRPr="00BB56FA" w:rsidRDefault="00BB56FA" w:rsidP="00BB56FA">
      <w:pPr>
        <w:numPr>
          <w:ilvl w:val="0"/>
          <w:numId w:val="11"/>
        </w:numPr>
        <w:jc w:val="both"/>
        <w:rPr>
          <w:noProof/>
          <w:lang w:val="en-GB"/>
        </w:rPr>
      </w:pPr>
      <w:r>
        <w:rPr>
          <w:b/>
          <w:bCs/>
          <w:noProof/>
          <w:lang w:val="en-GB"/>
        </w:rPr>
        <w:t>Obezbijeđena p</w:t>
      </w:r>
      <w:r w:rsidRPr="00BB56FA">
        <w:rPr>
          <w:b/>
          <w:bCs/>
          <w:noProof/>
          <w:lang w:val="en-GB"/>
        </w:rPr>
        <w:t>odrška Ministarstvu u strateškom planiranju 2026–2027</w:t>
      </w:r>
      <w:r w:rsidRPr="00BB56FA">
        <w:rPr>
          <w:noProof/>
          <w:lang w:val="en-GB"/>
        </w:rPr>
        <w:t xml:space="preserve"> </w:t>
      </w:r>
      <w:r>
        <w:rPr>
          <w:noProof/>
          <w:lang w:val="en-GB"/>
        </w:rPr>
        <w:t>- m</w:t>
      </w:r>
      <w:r w:rsidRPr="00BB56FA">
        <w:rPr>
          <w:noProof/>
          <w:lang w:val="en-GB"/>
        </w:rPr>
        <w:t>apirani su ključni prioriteti, usklađene aktivnosti i izbjegnuta preklapanja. Time je postignuta koherentnost i jasnoća u planiranju, što garantuje efikasniju realizaciju omladinske politike.</w:t>
      </w:r>
    </w:p>
    <w:p w14:paraId="24ADC5FC" w14:textId="22FF38F4" w:rsidR="00BB56FA" w:rsidRDefault="00BB56FA" w:rsidP="00BB56FA">
      <w:pPr>
        <w:numPr>
          <w:ilvl w:val="0"/>
          <w:numId w:val="11"/>
        </w:numPr>
        <w:jc w:val="both"/>
        <w:rPr>
          <w:noProof/>
          <w:lang w:val="en-GB"/>
        </w:rPr>
      </w:pPr>
      <w:r w:rsidRPr="00BB56FA">
        <w:rPr>
          <w:noProof/>
          <w:lang w:val="en-GB"/>
        </w:rPr>
        <w:t>Podržana realizacija</w:t>
      </w:r>
      <w:r>
        <w:rPr>
          <w:noProof/>
          <w:lang w:val="en-GB"/>
        </w:rPr>
        <w:t xml:space="preserve"> </w:t>
      </w:r>
      <w:r w:rsidRPr="00BB56FA">
        <w:rPr>
          <w:b/>
          <w:bCs/>
          <w:noProof/>
          <w:lang w:val="en-GB"/>
        </w:rPr>
        <w:t>Garancij</w:t>
      </w:r>
      <w:r>
        <w:rPr>
          <w:b/>
          <w:bCs/>
          <w:noProof/>
          <w:lang w:val="en-GB"/>
        </w:rPr>
        <w:t>e</w:t>
      </w:r>
      <w:r w:rsidRPr="00BB56FA">
        <w:rPr>
          <w:b/>
          <w:bCs/>
          <w:noProof/>
          <w:lang w:val="en-GB"/>
        </w:rPr>
        <w:t xml:space="preserve"> za mlade</w:t>
      </w:r>
      <w:r>
        <w:rPr>
          <w:noProof/>
          <w:lang w:val="en-GB"/>
        </w:rPr>
        <w:t xml:space="preserve">, kroz </w:t>
      </w:r>
      <w:r w:rsidRPr="00BB56FA">
        <w:rPr>
          <w:noProof/>
          <w:lang w:val="en-GB"/>
        </w:rPr>
        <w:t>kreiranje vizueln</w:t>
      </w:r>
      <w:r>
        <w:rPr>
          <w:noProof/>
          <w:lang w:val="en-GB"/>
        </w:rPr>
        <w:t>og</w:t>
      </w:r>
      <w:r w:rsidRPr="00BB56FA">
        <w:rPr>
          <w:noProof/>
          <w:lang w:val="en-GB"/>
        </w:rPr>
        <w:t xml:space="preserve"> identitet</w:t>
      </w:r>
      <w:r>
        <w:rPr>
          <w:noProof/>
          <w:lang w:val="en-GB"/>
        </w:rPr>
        <w:t>a</w:t>
      </w:r>
      <w:r w:rsidRPr="00BB56FA">
        <w:rPr>
          <w:noProof/>
          <w:lang w:val="en-GB"/>
        </w:rPr>
        <w:t xml:space="preserve"> i logo</w:t>
      </w:r>
      <w:r>
        <w:rPr>
          <w:noProof/>
          <w:lang w:val="en-GB"/>
        </w:rPr>
        <w:t>a</w:t>
      </w:r>
      <w:r w:rsidRPr="00BB56FA">
        <w:rPr>
          <w:noProof/>
          <w:lang w:val="en-GB"/>
        </w:rPr>
        <w:t>, a pripremljeni su nacrti brošura za mlade i NVO. Dokumenti čekaju finalne inpute</w:t>
      </w:r>
      <w:r>
        <w:rPr>
          <w:noProof/>
          <w:lang w:val="en-GB"/>
        </w:rPr>
        <w:t xml:space="preserve"> nadležnih institucija. </w:t>
      </w:r>
    </w:p>
    <w:p w14:paraId="7A8885FA" w14:textId="099A105B" w:rsidR="00912BC8" w:rsidRPr="00912BC8" w:rsidRDefault="00912BC8" w:rsidP="00C433FE">
      <w:pPr>
        <w:numPr>
          <w:ilvl w:val="0"/>
          <w:numId w:val="11"/>
        </w:numPr>
        <w:jc w:val="both"/>
        <w:rPr>
          <w:noProof/>
          <w:lang w:val="en-GB"/>
        </w:rPr>
      </w:pPr>
      <w:r w:rsidRPr="00912BC8">
        <w:rPr>
          <w:noProof/>
          <w:lang w:val="sr-Latn-RS"/>
        </w:rPr>
        <w:t>Vidljivost projekta na društvenim mrežama:</w:t>
      </w:r>
      <w:r w:rsidRPr="00912BC8">
        <w:rPr>
          <w:b/>
          <w:bCs/>
          <w:noProof/>
          <w:lang w:val="sr-Latn-RS"/>
        </w:rPr>
        <w:t xml:space="preserve"> preko 200.000 pregleda objava.</w:t>
      </w:r>
    </w:p>
    <w:p w14:paraId="413D83A8" w14:textId="77777777" w:rsidR="00A37CE6" w:rsidRDefault="00A37CE6" w:rsidP="00BB56FA">
      <w:pPr>
        <w:ind w:left="720"/>
        <w:jc w:val="both"/>
        <w:rPr>
          <w:b/>
          <w:bCs/>
          <w:noProof/>
          <w:lang w:val="en-GB"/>
        </w:rPr>
      </w:pPr>
    </w:p>
    <w:p w14:paraId="4C0ABC5C" w14:textId="77777777" w:rsidR="00A37CE6" w:rsidRDefault="00A37CE6" w:rsidP="00BB56FA">
      <w:pPr>
        <w:ind w:left="720"/>
        <w:jc w:val="both"/>
        <w:rPr>
          <w:b/>
          <w:bCs/>
          <w:noProof/>
          <w:lang w:val="en-GB"/>
        </w:rPr>
      </w:pPr>
    </w:p>
    <w:p w14:paraId="4EC4FCC7" w14:textId="77777777" w:rsidR="00A37CE6" w:rsidRDefault="00A37CE6" w:rsidP="00BB56FA">
      <w:pPr>
        <w:ind w:left="720"/>
        <w:jc w:val="both"/>
        <w:rPr>
          <w:b/>
          <w:bCs/>
          <w:noProof/>
          <w:lang w:val="en-GB"/>
        </w:rPr>
      </w:pPr>
    </w:p>
    <w:p w14:paraId="405014C4" w14:textId="77777777" w:rsidR="00A37CE6" w:rsidRDefault="00A37CE6" w:rsidP="00BB56FA">
      <w:pPr>
        <w:ind w:left="720"/>
        <w:jc w:val="both"/>
        <w:rPr>
          <w:b/>
          <w:bCs/>
          <w:noProof/>
          <w:lang w:val="en-GB"/>
        </w:rPr>
      </w:pPr>
    </w:p>
    <w:p w14:paraId="44BBC07B" w14:textId="77777777" w:rsidR="00A37CE6" w:rsidRDefault="00A37CE6" w:rsidP="00BB56FA">
      <w:pPr>
        <w:ind w:left="720"/>
        <w:jc w:val="both"/>
        <w:rPr>
          <w:b/>
          <w:bCs/>
          <w:noProof/>
          <w:lang w:val="en-GB"/>
        </w:rPr>
      </w:pPr>
    </w:p>
    <w:p w14:paraId="7F665828" w14:textId="77777777" w:rsidR="00A37CE6" w:rsidRPr="00BD0519" w:rsidRDefault="00A37CE6" w:rsidP="00BD0519">
      <w:pPr>
        <w:spacing w:after="0"/>
        <w:jc w:val="center"/>
        <w:rPr>
          <w:rFonts w:ascii="Aptos Display" w:hAnsi="Aptos Display" w:cs="Aptos Display"/>
          <w:b/>
          <w:bCs/>
          <w:noProof/>
          <w:color w:val="215E99" w:themeColor="text2" w:themeTint="BF"/>
          <w:lang w:val="sr-Latn-RS"/>
        </w:rPr>
      </w:pPr>
    </w:p>
    <w:p w14:paraId="6E5A407B" w14:textId="066D62AC" w:rsidR="00BB56FA" w:rsidRDefault="00CA33B1" w:rsidP="00BD0519">
      <w:pPr>
        <w:spacing w:after="0"/>
        <w:jc w:val="center"/>
        <w:rPr>
          <w:rFonts w:ascii="Aptos Display" w:hAnsi="Aptos Display" w:cs="Aptos Display"/>
          <w:b/>
          <w:bCs/>
          <w:noProof/>
          <w:color w:val="215E99" w:themeColor="text2" w:themeTint="BF"/>
          <w:lang w:val="sr-Latn-RS"/>
        </w:rPr>
      </w:pPr>
      <w:r w:rsidRPr="00BD0519">
        <w:rPr>
          <w:rFonts w:ascii="Aptos Display" w:hAnsi="Aptos Display" w:cs="Aptos Display"/>
          <w:b/>
          <w:bCs/>
          <w:noProof/>
          <w:color w:val="215E99" w:themeColor="text2" w:themeTint="BF"/>
          <w:lang w:val="sr-Latn-RS"/>
        </w:rPr>
        <w:t xml:space="preserve">Planirane aktivnosti za period </w:t>
      </w:r>
      <w:r w:rsidR="00BD0519">
        <w:rPr>
          <w:rFonts w:ascii="Aptos Display" w:hAnsi="Aptos Display" w:cs="Aptos Display"/>
          <w:b/>
          <w:bCs/>
          <w:noProof/>
          <w:color w:val="215E99" w:themeColor="text2" w:themeTint="BF"/>
          <w:lang w:val="sr-Latn-RS"/>
        </w:rPr>
        <w:t xml:space="preserve">nakon juna </w:t>
      </w:r>
      <w:r w:rsidRPr="00BD0519">
        <w:rPr>
          <w:rFonts w:ascii="Aptos Display" w:hAnsi="Aptos Display" w:cs="Aptos Display"/>
          <w:b/>
          <w:bCs/>
          <w:noProof/>
          <w:color w:val="215E99" w:themeColor="text2" w:themeTint="BF"/>
          <w:lang w:val="sr-Latn-RS"/>
        </w:rPr>
        <w:t>2026. godine</w:t>
      </w:r>
    </w:p>
    <w:p w14:paraId="3645D818" w14:textId="77777777" w:rsidR="00BD0519" w:rsidRPr="00BD0519" w:rsidRDefault="00BD0519" w:rsidP="00BD0519">
      <w:pPr>
        <w:spacing w:after="0"/>
        <w:jc w:val="center"/>
        <w:rPr>
          <w:rFonts w:ascii="Aptos Display" w:hAnsi="Aptos Display" w:cs="Aptos Display"/>
          <w:b/>
          <w:bCs/>
          <w:noProof/>
          <w:color w:val="215E99" w:themeColor="text2" w:themeTint="BF"/>
          <w:lang w:val="sr-Latn-RS"/>
        </w:rPr>
      </w:pPr>
    </w:p>
    <w:p w14:paraId="059A0C29" w14:textId="3418B37B" w:rsidR="00CA33B1" w:rsidRDefault="006C57DD" w:rsidP="00BB56FA">
      <w:pPr>
        <w:jc w:val="both"/>
        <w:rPr>
          <w:noProof/>
          <w:lang w:val="sr-Latn-RS"/>
        </w:rPr>
      </w:pPr>
      <w:r>
        <w:rPr>
          <w:noProof/>
          <w:lang w:val="sr-Latn-RS"/>
        </w:rPr>
        <w:t xml:space="preserve">Kao polazna osnova za naredne aktivnosti, </w:t>
      </w:r>
      <w:r w:rsidR="00AA64A4">
        <w:rPr>
          <w:noProof/>
          <w:lang w:val="sr-Latn-RS"/>
        </w:rPr>
        <w:t xml:space="preserve">osim projektnog dokumenta, </w:t>
      </w:r>
      <w:r>
        <w:rPr>
          <w:noProof/>
          <w:lang w:val="sr-Latn-RS"/>
        </w:rPr>
        <w:t>uzeće se rezultati strateškog planiranja</w:t>
      </w:r>
      <w:r w:rsidR="00AA64A4">
        <w:rPr>
          <w:noProof/>
          <w:lang w:val="sr-Latn-RS"/>
        </w:rPr>
        <w:t>, kako bi se osigurala usaglašenost aktivnosti sa aktuelnim prioritetima</w:t>
      </w:r>
      <w:r w:rsidR="005379AA">
        <w:rPr>
          <w:noProof/>
          <w:lang w:val="sr-Latn-RS"/>
        </w:rPr>
        <w:t xml:space="preserve"> i osigurala efikasnost korištenja resursa</w:t>
      </w:r>
      <w:r>
        <w:rPr>
          <w:noProof/>
          <w:lang w:val="sr-Latn-RS"/>
        </w:rPr>
        <w:t xml:space="preserve">. </w:t>
      </w:r>
    </w:p>
    <w:p w14:paraId="0F0A6AA8" w14:textId="59AC16AE" w:rsidR="006C57DD" w:rsidRPr="006C57DD" w:rsidRDefault="006C57DD" w:rsidP="006C57DD">
      <w:pPr>
        <w:jc w:val="both"/>
        <w:rPr>
          <w:noProof/>
          <w:lang w:val="en-GB"/>
        </w:rPr>
      </w:pPr>
      <w:r>
        <w:rPr>
          <w:noProof/>
          <w:lang w:val="en-GB"/>
        </w:rPr>
        <w:t>P</w:t>
      </w:r>
      <w:r w:rsidRPr="006C57DD">
        <w:rPr>
          <w:noProof/>
          <w:lang w:val="en-GB"/>
        </w:rPr>
        <w:t xml:space="preserve">lan </w:t>
      </w:r>
      <w:r w:rsidR="005379AA">
        <w:rPr>
          <w:noProof/>
          <w:lang w:val="en-GB"/>
        </w:rPr>
        <w:t>Ministarstva za</w:t>
      </w:r>
      <w:r w:rsidRPr="006C57DD">
        <w:rPr>
          <w:noProof/>
          <w:lang w:val="en-GB"/>
        </w:rPr>
        <w:t xml:space="preserve"> 2026</w:t>
      </w:r>
      <w:r>
        <w:rPr>
          <w:noProof/>
          <w:lang w:val="en-GB"/>
        </w:rPr>
        <w:t>.</w:t>
      </w:r>
      <w:r w:rsidR="005379AA">
        <w:rPr>
          <w:noProof/>
          <w:lang w:val="en-GB"/>
        </w:rPr>
        <w:t xml:space="preserve"> i 2027.</w:t>
      </w:r>
      <w:r>
        <w:rPr>
          <w:noProof/>
          <w:lang w:val="en-GB"/>
        </w:rPr>
        <w:t xml:space="preserve"> godinu je</w:t>
      </w:r>
      <w:r w:rsidRPr="006C57DD">
        <w:rPr>
          <w:noProof/>
          <w:lang w:val="en-GB"/>
        </w:rPr>
        <w:t xml:space="preserve"> fokusiran na jačanje omladinske politike kroz nekoliko ključnih pravaca. Planirano je sprovođenje sektorskih analiza</w:t>
      </w:r>
      <w:r>
        <w:rPr>
          <w:noProof/>
          <w:lang w:val="en-GB"/>
        </w:rPr>
        <w:t xml:space="preserve"> </w:t>
      </w:r>
      <w:r w:rsidR="00E94C8F">
        <w:rPr>
          <w:noProof/>
          <w:lang w:val="en-GB"/>
        </w:rPr>
        <w:t>i</w:t>
      </w:r>
      <w:r w:rsidR="00F558C7">
        <w:rPr>
          <w:noProof/>
          <w:lang w:val="en-GB"/>
        </w:rPr>
        <w:t xml:space="preserve"> </w:t>
      </w:r>
      <w:r w:rsidRPr="00E94C8F">
        <w:rPr>
          <w:b/>
          <w:bCs/>
          <w:noProof/>
          <w:lang w:val="en-GB"/>
        </w:rPr>
        <w:t>Konkursa za podršku projektima NVO  za realizaciju Strategiju za mlade i Garancije za mlade</w:t>
      </w:r>
      <w:r>
        <w:rPr>
          <w:noProof/>
          <w:lang w:val="en-GB"/>
        </w:rPr>
        <w:t xml:space="preserve">. Takođe, planirana je </w:t>
      </w:r>
      <w:r w:rsidRPr="006C57DD">
        <w:rPr>
          <w:noProof/>
          <w:lang w:val="en-GB"/>
        </w:rPr>
        <w:t xml:space="preserve">izrada </w:t>
      </w:r>
      <w:r w:rsidRPr="00E94C8F">
        <w:rPr>
          <w:b/>
          <w:bCs/>
          <w:noProof/>
          <w:lang w:val="en-GB"/>
        </w:rPr>
        <w:t>izvještaja o sprovođenju Akcionog plana za 2025-2026</w:t>
      </w:r>
      <w:r>
        <w:rPr>
          <w:noProof/>
          <w:lang w:val="en-GB"/>
        </w:rPr>
        <w:t xml:space="preserve">. godinu, </w:t>
      </w:r>
      <w:r w:rsidRPr="006C57DD">
        <w:rPr>
          <w:noProof/>
          <w:lang w:val="en-GB"/>
        </w:rPr>
        <w:t xml:space="preserve">kao i priprema novog </w:t>
      </w:r>
      <w:r w:rsidRPr="00E94C8F">
        <w:rPr>
          <w:b/>
          <w:bCs/>
          <w:noProof/>
          <w:lang w:val="en-GB"/>
        </w:rPr>
        <w:t>Akcionog plana za 2027.</w:t>
      </w:r>
      <w:r w:rsidRPr="006C57DD">
        <w:rPr>
          <w:noProof/>
          <w:lang w:val="en-GB"/>
        </w:rPr>
        <w:t xml:space="preserve"> </w:t>
      </w:r>
      <w:r w:rsidR="00E94C8F">
        <w:rPr>
          <w:noProof/>
          <w:lang w:val="en-GB"/>
        </w:rPr>
        <w:t xml:space="preserve">Slijedi i evaluacija postojeće i priprema </w:t>
      </w:r>
      <w:r w:rsidR="00E94C8F" w:rsidRPr="00E94C8F">
        <w:rPr>
          <w:b/>
          <w:bCs/>
          <w:noProof/>
          <w:lang w:val="en-GB"/>
        </w:rPr>
        <w:t>nove Strategije za mlade.</w:t>
      </w:r>
      <w:r w:rsidR="00E94C8F">
        <w:rPr>
          <w:noProof/>
          <w:lang w:val="en-GB"/>
        </w:rPr>
        <w:t xml:space="preserve"> </w:t>
      </w:r>
      <w:r w:rsidRPr="006C57DD">
        <w:rPr>
          <w:noProof/>
          <w:lang w:val="en-GB"/>
        </w:rPr>
        <w:t>Poseban akcenat stavljen je na saradnju sa opštinama i podršku u izradi lokalnih akcionih planova za mlade</w:t>
      </w:r>
      <w:r w:rsidR="003901A8">
        <w:rPr>
          <w:noProof/>
          <w:lang w:val="en-GB"/>
        </w:rPr>
        <w:t xml:space="preserve">. </w:t>
      </w:r>
      <w:r w:rsidRPr="006C57DD">
        <w:rPr>
          <w:noProof/>
          <w:lang w:val="en-GB"/>
        </w:rPr>
        <w:t xml:space="preserve">Pored toga, planirano je finalizovanje </w:t>
      </w:r>
      <w:r w:rsidRPr="00E94C8F">
        <w:rPr>
          <w:b/>
          <w:bCs/>
          <w:noProof/>
          <w:lang w:val="en-GB"/>
        </w:rPr>
        <w:t>Zakona o mladima,</w:t>
      </w:r>
      <w:r w:rsidRPr="006C57DD">
        <w:rPr>
          <w:noProof/>
          <w:lang w:val="en-GB"/>
        </w:rPr>
        <w:t xml:space="preserve"> kreiranje </w:t>
      </w:r>
      <w:r w:rsidRPr="00E94C8F">
        <w:rPr>
          <w:b/>
          <w:bCs/>
          <w:noProof/>
          <w:lang w:val="en-GB"/>
        </w:rPr>
        <w:t xml:space="preserve">podzakonskih akata i implementacija zakonskih rješenja </w:t>
      </w:r>
      <w:r w:rsidRPr="00E94C8F">
        <w:rPr>
          <w:noProof/>
          <w:lang w:val="en-GB"/>
        </w:rPr>
        <w:t>kroz formiranje Savjeta za mlade</w:t>
      </w:r>
      <w:r w:rsidR="00E94C8F">
        <w:rPr>
          <w:noProof/>
          <w:lang w:val="en-GB"/>
        </w:rPr>
        <w:t xml:space="preserve">, </w:t>
      </w:r>
      <w:r w:rsidRPr="006C57DD">
        <w:rPr>
          <w:noProof/>
          <w:lang w:val="en-GB"/>
        </w:rPr>
        <w:t>definisanje programa rada omladinskih servisa</w:t>
      </w:r>
      <w:r w:rsidR="00E94C8F">
        <w:rPr>
          <w:noProof/>
          <w:lang w:val="en-GB"/>
        </w:rPr>
        <w:t xml:space="preserve"> I ostalih podzakonskih akata</w:t>
      </w:r>
      <w:r w:rsidRPr="006C57DD">
        <w:rPr>
          <w:noProof/>
          <w:lang w:val="en-GB"/>
        </w:rPr>
        <w:t>.</w:t>
      </w:r>
      <w:r w:rsidR="003901A8">
        <w:rPr>
          <w:noProof/>
          <w:lang w:val="en-GB"/>
        </w:rPr>
        <w:t xml:space="preserve"> </w:t>
      </w:r>
      <w:r w:rsidR="003901A8" w:rsidRPr="00E94C8F">
        <w:rPr>
          <w:b/>
          <w:bCs/>
          <w:noProof/>
          <w:lang w:val="en-GB"/>
        </w:rPr>
        <w:t>Međunarodna saradnja</w:t>
      </w:r>
      <w:r w:rsidR="003901A8">
        <w:rPr>
          <w:noProof/>
          <w:lang w:val="en-GB"/>
        </w:rPr>
        <w:t xml:space="preserve"> i korištenje dostupnih alata i smjernica su ocijenjeni kao prioritet, kao i strateško pozicioniranje Ministarstva u okvirima kao što su Berlinski proces i presjedavanje Crne Gore Komitetom Ministara Savjeta Evrope. </w:t>
      </w:r>
      <w:r w:rsidR="003901A8" w:rsidRPr="00125B44">
        <w:rPr>
          <w:b/>
          <w:bCs/>
          <w:noProof/>
          <w:lang w:val="en-GB"/>
        </w:rPr>
        <w:t>Jačanje kapaciteta Ministarstva,</w:t>
      </w:r>
      <w:r w:rsidR="003901A8">
        <w:rPr>
          <w:noProof/>
          <w:lang w:val="en-GB"/>
        </w:rPr>
        <w:t xml:space="preserve"> kroz sistematizaciju i obuke kadra Ministarstva i državnih službenika/ca, dodatno je identifikovano kao prioritet. </w:t>
      </w:r>
      <w:r w:rsidR="00E94C8F">
        <w:rPr>
          <w:noProof/>
          <w:lang w:val="en-GB"/>
        </w:rPr>
        <w:t xml:space="preserve">Takođe, potrebno je </w:t>
      </w:r>
      <w:r w:rsidR="00E94C8F" w:rsidRPr="00125B44">
        <w:rPr>
          <w:b/>
          <w:bCs/>
          <w:noProof/>
          <w:lang w:val="en-GB"/>
        </w:rPr>
        <w:t>us</w:t>
      </w:r>
      <w:r w:rsidR="00E94C8F" w:rsidRPr="00125B44">
        <w:rPr>
          <w:b/>
          <w:bCs/>
          <w:noProof/>
          <w:lang w:val="sr-Latn-ME"/>
        </w:rPr>
        <w:t>postaviti sistem praćenja i komuniciranja rezultata ministarstva</w:t>
      </w:r>
      <w:r w:rsidR="00E94C8F">
        <w:rPr>
          <w:noProof/>
          <w:lang w:val="sr-Latn-ME"/>
        </w:rPr>
        <w:t xml:space="preserve">, </w:t>
      </w:r>
      <w:r w:rsidR="00E94C8F" w:rsidRPr="003901A8">
        <w:rPr>
          <w:noProof/>
          <w:lang w:val="sr-Latn-ME"/>
        </w:rPr>
        <w:t xml:space="preserve"> </w:t>
      </w:r>
      <w:r w:rsidR="00E94C8F">
        <w:rPr>
          <w:noProof/>
          <w:lang w:val="en-GB"/>
        </w:rPr>
        <w:t>uključujući i rezultate podržanih projekata NVO.</w:t>
      </w:r>
    </w:p>
    <w:p w14:paraId="0B8DC737" w14:textId="6126D30D" w:rsidR="006C57DD" w:rsidRPr="00186865" w:rsidRDefault="006C57DD" w:rsidP="006C57DD">
      <w:pPr>
        <w:jc w:val="both"/>
        <w:rPr>
          <w:b/>
          <w:bCs/>
          <w:noProof/>
          <w:lang w:val="en-GB"/>
        </w:rPr>
      </w:pPr>
      <w:r>
        <w:rPr>
          <w:noProof/>
          <w:lang w:val="en-GB"/>
        </w:rPr>
        <w:t xml:space="preserve">Planirano je da UNDP pruži podršku u realizaciji više aktivnosti. Podrška UNDP je </w:t>
      </w:r>
      <w:r w:rsidRPr="006C57DD">
        <w:rPr>
          <w:noProof/>
          <w:lang w:val="en-GB"/>
        </w:rPr>
        <w:t xml:space="preserve">predviđena </w:t>
      </w:r>
      <w:r>
        <w:rPr>
          <w:noProof/>
          <w:lang w:val="en-GB"/>
        </w:rPr>
        <w:t xml:space="preserve">za </w:t>
      </w:r>
      <w:r w:rsidRPr="006C57DD">
        <w:rPr>
          <w:noProof/>
          <w:lang w:val="en-GB"/>
        </w:rPr>
        <w:t>pisanj</w:t>
      </w:r>
      <w:r>
        <w:rPr>
          <w:noProof/>
          <w:lang w:val="en-GB"/>
        </w:rPr>
        <w:t>e</w:t>
      </w:r>
      <w:r w:rsidRPr="006C57DD">
        <w:rPr>
          <w:noProof/>
          <w:lang w:val="en-GB"/>
        </w:rPr>
        <w:t xml:space="preserve"> </w:t>
      </w:r>
      <w:r w:rsidRPr="00186865">
        <w:rPr>
          <w:b/>
          <w:bCs/>
          <w:noProof/>
          <w:lang w:val="en-GB"/>
        </w:rPr>
        <w:t>izvještaja o sprovođenju Akcionog plana 2025-2026</w:t>
      </w:r>
      <w:r>
        <w:rPr>
          <w:noProof/>
          <w:lang w:val="en-GB"/>
        </w:rPr>
        <w:t xml:space="preserve">, što je u međuvremenu i realizovano, podršku </w:t>
      </w:r>
      <w:r w:rsidRPr="00186865">
        <w:rPr>
          <w:b/>
          <w:bCs/>
          <w:noProof/>
          <w:lang w:val="en-GB"/>
        </w:rPr>
        <w:t>pripremi izvještaja o realizaciji sveukupne Strategije za mlade</w:t>
      </w:r>
      <w:r w:rsidRPr="006C57DD">
        <w:rPr>
          <w:noProof/>
          <w:lang w:val="en-GB"/>
        </w:rPr>
        <w:t xml:space="preserve">, pripremu </w:t>
      </w:r>
      <w:r w:rsidRPr="00186865">
        <w:rPr>
          <w:b/>
          <w:bCs/>
          <w:noProof/>
          <w:lang w:val="en-GB"/>
        </w:rPr>
        <w:t>Akcionog plana za 2027</w:t>
      </w:r>
      <w:r w:rsidRPr="006C57DD">
        <w:rPr>
          <w:noProof/>
          <w:lang w:val="en-GB"/>
        </w:rPr>
        <w:t xml:space="preserve">, kao i </w:t>
      </w:r>
      <w:r>
        <w:rPr>
          <w:noProof/>
          <w:lang w:val="en-GB"/>
        </w:rPr>
        <w:t>za</w:t>
      </w:r>
      <w:r w:rsidRPr="006C57DD">
        <w:rPr>
          <w:noProof/>
          <w:lang w:val="en-GB"/>
        </w:rPr>
        <w:t xml:space="preserve"> </w:t>
      </w:r>
      <w:r w:rsidRPr="00186865">
        <w:rPr>
          <w:b/>
          <w:bCs/>
          <w:noProof/>
          <w:lang w:val="en-GB"/>
        </w:rPr>
        <w:t xml:space="preserve">finalizaciju Zakona o mladima i izradu podzakonskih akata. </w:t>
      </w:r>
    </w:p>
    <w:p w14:paraId="1D7EA009" w14:textId="3E2A6C38" w:rsidR="00125B44" w:rsidRDefault="00125B44" w:rsidP="006C57DD">
      <w:pPr>
        <w:jc w:val="both"/>
        <w:rPr>
          <w:noProof/>
          <w:lang w:val="en-GB"/>
        </w:rPr>
      </w:pPr>
      <w:r>
        <w:rPr>
          <w:noProof/>
          <w:lang w:val="en-GB"/>
        </w:rPr>
        <w:t xml:space="preserve">U odnosu na odluku vezano za </w:t>
      </w:r>
      <w:r w:rsidR="00186865">
        <w:rPr>
          <w:noProof/>
          <w:lang w:val="en-GB"/>
        </w:rPr>
        <w:t xml:space="preserve">produžetak važenja ili kreiranje </w:t>
      </w:r>
      <w:r w:rsidR="00186865" w:rsidRPr="00186865">
        <w:rPr>
          <w:b/>
          <w:bCs/>
          <w:noProof/>
          <w:lang w:val="en-GB"/>
        </w:rPr>
        <w:t xml:space="preserve">nove </w:t>
      </w:r>
      <w:r w:rsidR="00186865">
        <w:rPr>
          <w:b/>
          <w:bCs/>
          <w:noProof/>
          <w:lang w:val="en-GB"/>
        </w:rPr>
        <w:t>S</w:t>
      </w:r>
      <w:r w:rsidR="00186865" w:rsidRPr="00186865">
        <w:rPr>
          <w:b/>
          <w:bCs/>
          <w:noProof/>
          <w:lang w:val="en-GB"/>
        </w:rPr>
        <w:t>trategije za m</w:t>
      </w:r>
      <w:r w:rsidR="00186865">
        <w:rPr>
          <w:b/>
          <w:bCs/>
          <w:noProof/>
          <w:lang w:val="en-GB"/>
        </w:rPr>
        <w:t>la</w:t>
      </w:r>
      <w:r w:rsidR="00186865" w:rsidRPr="00186865">
        <w:rPr>
          <w:b/>
          <w:bCs/>
          <w:noProof/>
          <w:lang w:val="en-GB"/>
        </w:rPr>
        <w:t>de,</w:t>
      </w:r>
      <w:r w:rsidR="00186865">
        <w:rPr>
          <w:noProof/>
          <w:lang w:val="en-GB"/>
        </w:rPr>
        <w:t xml:space="preserve"> UNDP može da pomogne i u ovom procesu.</w:t>
      </w:r>
    </w:p>
    <w:p w14:paraId="35261D62" w14:textId="0DC4FCE0" w:rsidR="006C57DD" w:rsidRDefault="006C57DD" w:rsidP="006C57DD">
      <w:pPr>
        <w:jc w:val="both"/>
        <w:rPr>
          <w:noProof/>
          <w:lang w:val="en-GB"/>
        </w:rPr>
      </w:pPr>
      <w:r w:rsidRPr="006C57DD">
        <w:rPr>
          <w:noProof/>
          <w:lang w:val="en-GB"/>
        </w:rPr>
        <w:t xml:space="preserve">UNDP </w:t>
      </w:r>
      <w:r>
        <w:rPr>
          <w:noProof/>
          <w:lang w:val="en-GB"/>
        </w:rPr>
        <w:t xml:space="preserve">treba da podrži i </w:t>
      </w:r>
      <w:r w:rsidRPr="00186865">
        <w:rPr>
          <w:b/>
          <w:bCs/>
          <w:noProof/>
          <w:lang w:val="en-GB"/>
        </w:rPr>
        <w:t>obuku administratora i nabavku opreme</w:t>
      </w:r>
      <w:r w:rsidRPr="006C57DD">
        <w:rPr>
          <w:noProof/>
          <w:lang w:val="en-GB"/>
        </w:rPr>
        <w:t xml:space="preserve"> za nove omladinske servise u opštinama</w:t>
      </w:r>
      <w:r w:rsidR="00186865">
        <w:rPr>
          <w:noProof/>
          <w:lang w:val="en-GB"/>
        </w:rPr>
        <w:t xml:space="preserve">, </w:t>
      </w:r>
      <w:r w:rsidR="00186865" w:rsidRPr="006C57DD">
        <w:rPr>
          <w:noProof/>
          <w:lang w:val="en-GB"/>
        </w:rPr>
        <w:t xml:space="preserve">kao u sprovođenju aktivnosti vezanih za </w:t>
      </w:r>
      <w:r w:rsidR="00186865" w:rsidRPr="00186865">
        <w:rPr>
          <w:b/>
          <w:bCs/>
          <w:noProof/>
          <w:lang w:val="en-GB"/>
        </w:rPr>
        <w:t>Garanciju za mlade.</w:t>
      </w:r>
    </w:p>
    <w:p w14:paraId="1DAA6428" w14:textId="3C52A634" w:rsidR="006C57DD" w:rsidRDefault="006C57DD" w:rsidP="006C57DD">
      <w:pPr>
        <w:jc w:val="both"/>
        <w:rPr>
          <w:noProof/>
          <w:lang w:val="en-GB"/>
        </w:rPr>
      </w:pPr>
      <w:r w:rsidRPr="006C57DD">
        <w:rPr>
          <w:noProof/>
          <w:lang w:val="en-GB"/>
        </w:rPr>
        <w:t>Takođe,</w:t>
      </w:r>
      <w:r w:rsidR="00186865">
        <w:rPr>
          <w:noProof/>
          <w:lang w:val="en-GB"/>
        </w:rPr>
        <w:t xml:space="preserve"> treba razmotriti da li ej potrebna podrška UNDP </w:t>
      </w:r>
      <w:r w:rsidRPr="006C57DD">
        <w:rPr>
          <w:noProof/>
          <w:lang w:val="en-GB"/>
        </w:rPr>
        <w:t xml:space="preserve">u </w:t>
      </w:r>
      <w:r w:rsidRPr="00186865">
        <w:rPr>
          <w:b/>
          <w:bCs/>
          <w:noProof/>
          <w:lang w:val="en-GB"/>
        </w:rPr>
        <w:t>komunikaciji i promociji rezultata ministarstva</w:t>
      </w:r>
      <w:r w:rsidR="00186865">
        <w:rPr>
          <w:noProof/>
          <w:lang w:val="en-GB"/>
        </w:rPr>
        <w:t>.</w:t>
      </w:r>
    </w:p>
    <w:p w14:paraId="07D67840" w14:textId="4F2542B0" w:rsidR="006C57DD" w:rsidRDefault="006C57DD" w:rsidP="006C57DD">
      <w:pPr>
        <w:jc w:val="both"/>
        <w:rPr>
          <w:b/>
          <w:bCs/>
          <w:noProof/>
          <w:lang w:val="en-GB"/>
        </w:rPr>
      </w:pPr>
      <w:r>
        <w:rPr>
          <w:noProof/>
          <w:lang w:val="en-GB"/>
        </w:rPr>
        <w:t xml:space="preserve">Dodatno, predviđeno je i da UNDP podrži </w:t>
      </w:r>
      <w:r w:rsidRPr="00186865">
        <w:rPr>
          <w:b/>
          <w:bCs/>
          <w:noProof/>
          <w:lang w:val="en-GB"/>
        </w:rPr>
        <w:t>pripremu i realizaciju programa obuke o omladinskoj politici namijenjenu državnim i lokalnim službenicima.</w:t>
      </w:r>
    </w:p>
    <w:p w14:paraId="5ACDE566" w14:textId="77777777" w:rsidR="002F15A8" w:rsidRDefault="002F15A8" w:rsidP="006C57DD">
      <w:pPr>
        <w:jc w:val="both"/>
        <w:rPr>
          <w:b/>
          <w:bCs/>
          <w:noProof/>
          <w:lang w:val="en-GB"/>
        </w:rPr>
      </w:pPr>
    </w:p>
    <w:p w14:paraId="319663B6" w14:textId="77777777" w:rsidR="00A37CE6" w:rsidRDefault="00A37CE6" w:rsidP="006C57DD">
      <w:pPr>
        <w:jc w:val="both"/>
        <w:rPr>
          <w:b/>
          <w:bCs/>
          <w:noProof/>
          <w:lang w:val="en-GB"/>
        </w:rPr>
      </w:pPr>
    </w:p>
    <w:p w14:paraId="44C1FE2A" w14:textId="77777777" w:rsidR="00A37CE6" w:rsidRDefault="00A37CE6" w:rsidP="00BE3C79">
      <w:pPr>
        <w:jc w:val="center"/>
        <w:rPr>
          <w:b/>
          <w:bCs/>
          <w:noProof/>
          <w:lang w:val="en-GB"/>
        </w:rPr>
      </w:pPr>
    </w:p>
    <w:p w14:paraId="29820D1B" w14:textId="5A10776A" w:rsidR="00BE3C79" w:rsidRDefault="00BE3C79" w:rsidP="00BD0519">
      <w:pPr>
        <w:spacing w:after="0"/>
        <w:jc w:val="center"/>
        <w:rPr>
          <w:rFonts w:ascii="Aptos Display" w:hAnsi="Aptos Display" w:cs="Aptos Display"/>
          <w:b/>
          <w:bCs/>
          <w:noProof/>
          <w:color w:val="215E99" w:themeColor="text2" w:themeTint="BF"/>
          <w:lang w:val="sr-Latn-RS"/>
        </w:rPr>
      </w:pPr>
      <w:r w:rsidRPr="00BD0519">
        <w:rPr>
          <w:rFonts w:ascii="Aptos Display" w:hAnsi="Aptos Display" w:cs="Aptos Display"/>
          <w:b/>
          <w:bCs/>
          <w:noProof/>
          <w:color w:val="215E99" w:themeColor="text2" w:themeTint="BF"/>
          <w:lang w:val="sr-Latn-RS"/>
        </w:rPr>
        <w:t>Dostupna sredstva i pregled aktivnosti za naredni period</w:t>
      </w:r>
    </w:p>
    <w:p w14:paraId="3E10B56F" w14:textId="77777777" w:rsidR="00BD0519" w:rsidRPr="00BD0519" w:rsidRDefault="00BD0519" w:rsidP="00BD0519">
      <w:pPr>
        <w:spacing w:after="0"/>
        <w:jc w:val="center"/>
        <w:rPr>
          <w:rFonts w:ascii="Aptos Display" w:hAnsi="Aptos Display" w:cs="Aptos Display"/>
          <w:b/>
          <w:bCs/>
          <w:noProof/>
          <w:color w:val="215E99" w:themeColor="text2" w:themeTint="BF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2"/>
        <w:gridCol w:w="1138"/>
        <w:gridCol w:w="1273"/>
        <w:gridCol w:w="4723"/>
      </w:tblGrid>
      <w:tr w:rsidR="00DC63E4" w14:paraId="5051F461" w14:textId="77777777" w:rsidTr="000D362F">
        <w:tc>
          <w:tcPr>
            <w:tcW w:w="2262" w:type="dxa"/>
            <w:shd w:val="clear" w:color="auto" w:fill="A5C9EB" w:themeFill="text2" w:themeFillTint="40"/>
          </w:tcPr>
          <w:p w14:paraId="27007721" w14:textId="29E4723C" w:rsidR="00DC63E4" w:rsidRPr="000D362F" w:rsidRDefault="00013C20" w:rsidP="00DC63E4">
            <w:pPr>
              <w:jc w:val="both"/>
              <w:rPr>
                <w:b/>
                <w:bCs/>
                <w:noProof/>
                <w:sz w:val="22"/>
                <w:szCs w:val="22"/>
                <w:lang w:val="sr-Latn-RS"/>
              </w:rPr>
            </w:pPr>
            <w:r w:rsidRPr="000D362F">
              <w:rPr>
                <w:rFonts w:ascii="Aptos" w:eastAsia="Times New Roman" w:hAnsi="Aptos"/>
                <w:b/>
                <w:bCs/>
                <w:noProof/>
                <w:sz w:val="22"/>
                <w:szCs w:val="22"/>
                <w:lang w:val="sr-Latn-RS"/>
              </w:rPr>
              <w:t>Aktivnosti</w:t>
            </w:r>
          </w:p>
        </w:tc>
        <w:tc>
          <w:tcPr>
            <w:tcW w:w="1138" w:type="dxa"/>
            <w:shd w:val="clear" w:color="auto" w:fill="A5C9EB" w:themeFill="text2" w:themeFillTint="40"/>
          </w:tcPr>
          <w:p w14:paraId="1822AD7A" w14:textId="4D5E3161" w:rsidR="00DC63E4" w:rsidRPr="000D362F" w:rsidRDefault="00013C20" w:rsidP="00DC63E4">
            <w:pPr>
              <w:jc w:val="both"/>
              <w:rPr>
                <w:b/>
                <w:bCs/>
                <w:noProof/>
                <w:sz w:val="22"/>
                <w:szCs w:val="22"/>
                <w:lang w:val="sr-Latn-RS"/>
              </w:rPr>
            </w:pPr>
            <w:r w:rsidRPr="000D362F">
              <w:rPr>
                <w:b/>
                <w:bCs/>
                <w:noProof/>
                <w:sz w:val="22"/>
                <w:szCs w:val="22"/>
                <w:lang w:val="en-GB"/>
              </w:rPr>
              <w:t>Planirano</w:t>
            </w:r>
          </w:p>
        </w:tc>
        <w:tc>
          <w:tcPr>
            <w:tcW w:w="1273" w:type="dxa"/>
            <w:shd w:val="clear" w:color="auto" w:fill="A5C9EB" w:themeFill="text2" w:themeFillTint="40"/>
          </w:tcPr>
          <w:p w14:paraId="57E6F18C" w14:textId="1FEF3EEF" w:rsidR="00DC63E4" w:rsidRPr="000D362F" w:rsidRDefault="006477C4" w:rsidP="00DC63E4">
            <w:pPr>
              <w:jc w:val="both"/>
              <w:rPr>
                <w:b/>
                <w:bCs/>
                <w:noProof/>
                <w:sz w:val="22"/>
                <w:szCs w:val="22"/>
                <w:lang w:val="sr-Latn-RS"/>
              </w:rPr>
            </w:pPr>
            <w:r w:rsidRPr="000D362F">
              <w:rPr>
                <w:b/>
                <w:bCs/>
                <w:noProof/>
                <w:sz w:val="22"/>
                <w:szCs w:val="22"/>
                <w:lang w:val="sr-Latn-RS"/>
              </w:rPr>
              <w:t>Preostalo</w:t>
            </w:r>
          </w:p>
        </w:tc>
        <w:tc>
          <w:tcPr>
            <w:tcW w:w="4723" w:type="dxa"/>
            <w:shd w:val="clear" w:color="auto" w:fill="A5C9EB" w:themeFill="text2" w:themeFillTint="40"/>
          </w:tcPr>
          <w:p w14:paraId="51CD696A" w14:textId="2ADCB5E0" w:rsidR="00DC63E4" w:rsidRPr="000D362F" w:rsidRDefault="00DC63E4" w:rsidP="00DC63E4">
            <w:pPr>
              <w:jc w:val="both"/>
              <w:rPr>
                <w:b/>
                <w:bCs/>
                <w:noProof/>
                <w:sz w:val="22"/>
                <w:szCs w:val="22"/>
                <w:lang w:val="sr-Latn-RS"/>
              </w:rPr>
            </w:pPr>
            <w:r w:rsidRPr="000D362F">
              <w:rPr>
                <w:b/>
                <w:bCs/>
                <w:noProof/>
                <w:sz w:val="22"/>
                <w:szCs w:val="22"/>
                <w:lang w:val="sr-Latn-RS"/>
              </w:rPr>
              <w:t>Napomena</w:t>
            </w:r>
          </w:p>
        </w:tc>
      </w:tr>
      <w:tr w:rsidR="00DC63E4" w14:paraId="6810A6F4" w14:textId="77777777" w:rsidTr="000D362F">
        <w:tc>
          <w:tcPr>
            <w:tcW w:w="2262" w:type="dxa"/>
          </w:tcPr>
          <w:p w14:paraId="73190427" w14:textId="76D2054F" w:rsidR="00DC63E4" w:rsidRPr="000D362F" w:rsidRDefault="006477C4" w:rsidP="00DC63E4">
            <w:pPr>
              <w:jc w:val="both"/>
              <w:rPr>
                <w:noProof/>
                <w:sz w:val="22"/>
                <w:szCs w:val="22"/>
                <w:lang w:val="sr-Latn-RS"/>
              </w:rPr>
            </w:pPr>
            <w:r w:rsidRPr="000D362F">
              <w:rPr>
                <w:noProof/>
                <w:sz w:val="22"/>
                <w:szCs w:val="22"/>
                <w:lang w:val="en-GB"/>
              </w:rPr>
              <w:t>Opremanje centara</w:t>
            </w:r>
          </w:p>
        </w:tc>
        <w:tc>
          <w:tcPr>
            <w:tcW w:w="1138" w:type="dxa"/>
          </w:tcPr>
          <w:p w14:paraId="3AD622A3" w14:textId="77777777" w:rsidR="00013C20" w:rsidRPr="000D362F" w:rsidRDefault="00013C20" w:rsidP="00013C20">
            <w:pPr>
              <w:jc w:val="both"/>
              <w:rPr>
                <w:noProof/>
                <w:sz w:val="22"/>
                <w:szCs w:val="22"/>
                <w:lang w:val="en-GB"/>
              </w:rPr>
            </w:pPr>
            <w:r w:rsidRPr="000D362F">
              <w:rPr>
                <w:noProof/>
                <w:sz w:val="22"/>
                <w:szCs w:val="22"/>
                <w:lang w:val="en-GB"/>
              </w:rPr>
              <w:t>25.300 €</w:t>
            </w:r>
          </w:p>
          <w:p w14:paraId="22015C98" w14:textId="2A712317" w:rsidR="00DC63E4" w:rsidRPr="000D362F" w:rsidRDefault="00DC63E4" w:rsidP="00DC63E4">
            <w:pPr>
              <w:jc w:val="both"/>
              <w:rPr>
                <w:noProof/>
                <w:sz w:val="22"/>
                <w:szCs w:val="22"/>
                <w:lang w:val="en-GB"/>
              </w:rPr>
            </w:pPr>
          </w:p>
        </w:tc>
        <w:tc>
          <w:tcPr>
            <w:tcW w:w="1273" w:type="dxa"/>
          </w:tcPr>
          <w:p w14:paraId="21C140FC" w14:textId="5DE818A9" w:rsidR="00DC63E4" w:rsidRPr="000D362F" w:rsidRDefault="00013C20" w:rsidP="00013C20">
            <w:pPr>
              <w:jc w:val="both"/>
              <w:rPr>
                <w:noProof/>
                <w:sz w:val="22"/>
                <w:szCs w:val="22"/>
                <w:lang w:val="sr-Latn-RS"/>
              </w:rPr>
            </w:pPr>
            <w:r w:rsidRPr="000D362F">
              <w:rPr>
                <w:noProof/>
                <w:sz w:val="22"/>
                <w:szCs w:val="22"/>
                <w:lang w:val="sr-Latn-RS"/>
              </w:rPr>
              <w:t>17.800 €</w:t>
            </w:r>
          </w:p>
        </w:tc>
        <w:tc>
          <w:tcPr>
            <w:tcW w:w="4723" w:type="dxa"/>
          </w:tcPr>
          <w:p w14:paraId="0DE6BDEB" w14:textId="7E16B3BA" w:rsidR="00DC63E4" w:rsidRPr="000D362F" w:rsidRDefault="00013C20" w:rsidP="00DC63E4">
            <w:pPr>
              <w:jc w:val="both"/>
              <w:rPr>
                <w:noProof/>
                <w:sz w:val="22"/>
                <w:szCs w:val="22"/>
                <w:lang w:val="sr-Latn-RS"/>
              </w:rPr>
            </w:pPr>
            <w:r w:rsidRPr="000D362F">
              <w:rPr>
                <w:noProof/>
                <w:sz w:val="22"/>
                <w:szCs w:val="22"/>
                <w:lang w:val="sr-Latn-RS"/>
              </w:rPr>
              <w:t>Dosadašnja nabavka za Zetu i oprema u iznosu od oko 7.500 €</w:t>
            </w:r>
          </w:p>
        </w:tc>
      </w:tr>
      <w:tr w:rsidR="00DC63E4" w14:paraId="1B2FD8F4" w14:textId="77777777" w:rsidTr="000D362F">
        <w:tc>
          <w:tcPr>
            <w:tcW w:w="2262" w:type="dxa"/>
          </w:tcPr>
          <w:p w14:paraId="61E1BC86" w14:textId="4734D67E" w:rsidR="00DC63E4" w:rsidRPr="000D362F" w:rsidRDefault="006477C4" w:rsidP="00DC63E4">
            <w:pPr>
              <w:jc w:val="both"/>
              <w:rPr>
                <w:noProof/>
                <w:sz w:val="22"/>
                <w:szCs w:val="22"/>
                <w:lang w:val="sr-Latn-RS"/>
              </w:rPr>
            </w:pPr>
            <w:r w:rsidRPr="000D362F">
              <w:rPr>
                <w:noProof/>
                <w:sz w:val="22"/>
                <w:szCs w:val="22"/>
                <w:lang w:val="en-GB"/>
              </w:rPr>
              <w:t>Garancija za mlade</w:t>
            </w:r>
          </w:p>
        </w:tc>
        <w:tc>
          <w:tcPr>
            <w:tcW w:w="1138" w:type="dxa"/>
          </w:tcPr>
          <w:p w14:paraId="7FCB5EEB" w14:textId="57DF3E98" w:rsidR="00DC63E4" w:rsidRPr="000D362F" w:rsidRDefault="006477C4" w:rsidP="00DC63E4">
            <w:pPr>
              <w:jc w:val="both"/>
              <w:rPr>
                <w:noProof/>
                <w:sz w:val="22"/>
                <w:szCs w:val="22"/>
                <w:lang w:val="sr-Latn-RS"/>
              </w:rPr>
            </w:pPr>
            <w:r w:rsidRPr="000D362F">
              <w:rPr>
                <w:noProof/>
                <w:sz w:val="22"/>
                <w:szCs w:val="22"/>
                <w:lang w:val="sr-Latn-RS"/>
              </w:rPr>
              <w:t>30.000 €</w:t>
            </w:r>
          </w:p>
        </w:tc>
        <w:tc>
          <w:tcPr>
            <w:tcW w:w="1273" w:type="dxa"/>
          </w:tcPr>
          <w:p w14:paraId="2C0A5160" w14:textId="712ECFE6" w:rsidR="00DC63E4" w:rsidRPr="000D362F" w:rsidRDefault="0082552B" w:rsidP="00DC63E4">
            <w:pPr>
              <w:jc w:val="both"/>
              <w:rPr>
                <w:noProof/>
                <w:sz w:val="22"/>
                <w:szCs w:val="22"/>
                <w:lang w:val="sr-Latn-RS"/>
              </w:rPr>
            </w:pPr>
            <w:r w:rsidRPr="000D362F">
              <w:rPr>
                <w:noProof/>
                <w:sz w:val="22"/>
                <w:szCs w:val="22"/>
                <w:lang w:val="en-GB"/>
              </w:rPr>
              <w:t>20.</w:t>
            </w:r>
            <w:r w:rsidR="006477C4" w:rsidRPr="000D362F">
              <w:rPr>
                <w:noProof/>
                <w:sz w:val="22"/>
                <w:szCs w:val="22"/>
                <w:lang w:val="en-GB"/>
              </w:rPr>
              <w:t>000</w:t>
            </w:r>
            <w:r w:rsidRPr="000D362F">
              <w:rPr>
                <w:noProof/>
                <w:sz w:val="22"/>
                <w:szCs w:val="22"/>
                <w:lang w:val="en-GB"/>
              </w:rPr>
              <w:t xml:space="preserve"> </w:t>
            </w:r>
            <w:r w:rsidR="00DC63E4" w:rsidRPr="000D362F">
              <w:rPr>
                <w:noProof/>
                <w:sz w:val="22"/>
                <w:szCs w:val="22"/>
                <w:lang w:val="en-GB"/>
              </w:rPr>
              <w:t>€</w:t>
            </w:r>
          </w:p>
        </w:tc>
        <w:tc>
          <w:tcPr>
            <w:tcW w:w="4723" w:type="dxa"/>
          </w:tcPr>
          <w:p w14:paraId="22E08A8C" w14:textId="706DCF32" w:rsidR="00DC63E4" w:rsidRPr="000D362F" w:rsidRDefault="00DC63E4" w:rsidP="00DC63E4">
            <w:pPr>
              <w:jc w:val="both"/>
              <w:rPr>
                <w:noProof/>
                <w:sz w:val="22"/>
                <w:szCs w:val="22"/>
                <w:lang w:val="sr-Latn-RS"/>
              </w:rPr>
            </w:pPr>
            <w:r w:rsidRPr="000D362F">
              <w:rPr>
                <w:noProof/>
                <w:sz w:val="22"/>
                <w:szCs w:val="22"/>
                <w:lang w:val="en-GB"/>
              </w:rPr>
              <w:t xml:space="preserve">Od planiranih 30.000 € do sada utoršeno </w:t>
            </w:r>
            <w:r w:rsidRPr="000D362F">
              <w:rPr>
                <w:noProof/>
                <w:sz w:val="22"/>
                <w:szCs w:val="22"/>
                <w:lang w:val="en-GB"/>
              </w:rPr>
              <w:t>6</w:t>
            </w:r>
            <w:r w:rsidRPr="000D362F">
              <w:rPr>
                <w:noProof/>
                <w:sz w:val="22"/>
                <w:szCs w:val="22"/>
                <w:lang w:val="en-GB"/>
              </w:rPr>
              <w:t>.</w:t>
            </w:r>
            <w:r w:rsidRPr="000D362F">
              <w:rPr>
                <w:noProof/>
                <w:sz w:val="22"/>
                <w:szCs w:val="22"/>
                <w:lang w:val="en-GB"/>
              </w:rPr>
              <w:t xml:space="preserve">540€ </w:t>
            </w:r>
            <w:r w:rsidRPr="000D362F">
              <w:rPr>
                <w:noProof/>
                <w:sz w:val="22"/>
                <w:szCs w:val="22"/>
                <w:lang w:val="en-GB"/>
              </w:rPr>
              <w:t xml:space="preserve">za </w:t>
            </w:r>
            <w:r w:rsidR="0082552B" w:rsidRPr="000D362F">
              <w:rPr>
                <w:noProof/>
                <w:sz w:val="22"/>
                <w:szCs w:val="22"/>
                <w:lang w:val="en-GB"/>
              </w:rPr>
              <w:t>komunikacij</w:t>
            </w:r>
            <w:r w:rsidR="00A37CE6">
              <w:rPr>
                <w:noProof/>
                <w:sz w:val="22"/>
                <w:szCs w:val="22"/>
                <w:lang w:val="en-GB"/>
              </w:rPr>
              <w:t>s</w:t>
            </w:r>
            <w:r w:rsidR="0082552B" w:rsidRPr="000D362F">
              <w:rPr>
                <w:noProof/>
                <w:sz w:val="22"/>
                <w:szCs w:val="22"/>
                <w:lang w:val="en-GB"/>
              </w:rPr>
              <w:t>ke produkte (fir</w:t>
            </w:r>
            <w:r w:rsidRPr="000D362F">
              <w:rPr>
                <w:noProof/>
                <w:sz w:val="22"/>
                <w:szCs w:val="22"/>
                <w:lang w:val="en-GB"/>
              </w:rPr>
              <w:t>m</w:t>
            </w:r>
            <w:r w:rsidR="0082552B" w:rsidRPr="000D362F">
              <w:rPr>
                <w:noProof/>
                <w:sz w:val="22"/>
                <w:szCs w:val="22"/>
                <w:lang w:val="en-GB"/>
              </w:rPr>
              <w:t>a</w:t>
            </w:r>
            <w:r w:rsidRPr="000D362F">
              <w:rPr>
                <w:noProof/>
                <w:sz w:val="22"/>
                <w:szCs w:val="22"/>
                <w:lang w:val="en-GB"/>
              </w:rPr>
              <w:t xml:space="preserve"> </w:t>
            </w:r>
            <w:r w:rsidR="0082552B" w:rsidRPr="000D362F">
              <w:rPr>
                <w:noProof/>
                <w:sz w:val="22"/>
                <w:szCs w:val="22"/>
                <w:lang w:val="en-GB"/>
              </w:rPr>
              <w:t>M</w:t>
            </w:r>
            <w:r w:rsidRPr="000D362F">
              <w:rPr>
                <w:noProof/>
                <w:sz w:val="22"/>
                <w:szCs w:val="22"/>
                <w:lang w:val="en-GB"/>
              </w:rPr>
              <w:t>astermind</w:t>
            </w:r>
            <w:r w:rsidR="006477C4" w:rsidRPr="000D362F">
              <w:rPr>
                <w:noProof/>
                <w:sz w:val="22"/>
                <w:szCs w:val="22"/>
                <w:lang w:val="en-GB"/>
              </w:rPr>
              <w:t xml:space="preserve">, oko 200 € radionicu sa mladima </w:t>
            </w:r>
            <w:r w:rsidR="00FB697F" w:rsidRPr="000D362F">
              <w:rPr>
                <w:noProof/>
                <w:sz w:val="22"/>
                <w:szCs w:val="22"/>
                <w:lang w:val="en-GB"/>
              </w:rPr>
              <w:t xml:space="preserve"> </w:t>
            </w:r>
            <w:r w:rsidR="0082552B" w:rsidRPr="000D362F">
              <w:rPr>
                <w:noProof/>
                <w:sz w:val="22"/>
                <w:szCs w:val="22"/>
                <w:lang w:val="en-GB"/>
              </w:rPr>
              <w:t>i</w:t>
            </w:r>
            <w:r w:rsidR="00FB697F" w:rsidRPr="000D362F">
              <w:rPr>
                <w:noProof/>
                <w:sz w:val="22"/>
                <w:szCs w:val="22"/>
                <w:lang w:val="en-GB"/>
              </w:rPr>
              <w:t xml:space="preserve"> 3.268 € za </w:t>
            </w:r>
            <w:r w:rsidR="0082552B" w:rsidRPr="000D362F">
              <w:rPr>
                <w:noProof/>
                <w:sz w:val="22"/>
                <w:szCs w:val="22"/>
                <w:lang w:val="en-GB"/>
              </w:rPr>
              <w:t>konsultantsku podršku (Jovan Bojović)</w:t>
            </w:r>
          </w:p>
        </w:tc>
      </w:tr>
      <w:tr w:rsidR="00DC63E4" w14:paraId="4F30BE58" w14:textId="77777777" w:rsidTr="000D362F">
        <w:tc>
          <w:tcPr>
            <w:tcW w:w="2262" w:type="dxa"/>
          </w:tcPr>
          <w:p w14:paraId="15A2D60B" w14:textId="6E8222D5" w:rsidR="00DC63E4" w:rsidRPr="000D362F" w:rsidRDefault="00654D4C" w:rsidP="000D362F">
            <w:pPr>
              <w:jc w:val="both"/>
              <w:rPr>
                <w:noProof/>
                <w:sz w:val="22"/>
                <w:szCs w:val="22"/>
                <w:lang w:val="sr-Latn-RS"/>
              </w:rPr>
            </w:pPr>
            <w:r w:rsidRPr="000D362F">
              <w:rPr>
                <w:noProof/>
                <w:sz w:val="22"/>
                <w:szCs w:val="22"/>
                <w:lang w:val="sr-Latn-RS"/>
              </w:rPr>
              <w:t xml:space="preserve">Na raspolaganju </w:t>
            </w:r>
            <w:r w:rsidR="00622953" w:rsidRPr="000D362F">
              <w:rPr>
                <w:noProof/>
                <w:sz w:val="22"/>
                <w:szCs w:val="22"/>
                <w:lang w:val="sr-Latn-RS"/>
              </w:rPr>
              <w:t>ukupno</w:t>
            </w:r>
          </w:p>
        </w:tc>
        <w:tc>
          <w:tcPr>
            <w:tcW w:w="1138" w:type="dxa"/>
          </w:tcPr>
          <w:p w14:paraId="21DAE322" w14:textId="427C3661" w:rsidR="00DC63E4" w:rsidRPr="000D362F" w:rsidRDefault="00654D4C" w:rsidP="00017C95">
            <w:pPr>
              <w:jc w:val="both"/>
              <w:rPr>
                <w:b/>
                <w:bCs/>
                <w:noProof/>
                <w:sz w:val="22"/>
                <w:szCs w:val="22"/>
                <w:lang w:val="sr-Latn-RS"/>
              </w:rPr>
            </w:pPr>
            <w:r w:rsidRPr="000D362F">
              <w:rPr>
                <w:b/>
                <w:bCs/>
                <w:noProof/>
                <w:sz w:val="22"/>
                <w:szCs w:val="22"/>
                <w:lang w:val="sr-Latn-RS"/>
              </w:rPr>
              <w:t>56.000 €</w:t>
            </w:r>
          </w:p>
        </w:tc>
        <w:tc>
          <w:tcPr>
            <w:tcW w:w="1273" w:type="dxa"/>
          </w:tcPr>
          <w:p w14:paraId="22FA2FD3" w14:textId="36D40588" w:rsidR="00DC63E4" w:rsidRPr="000D362F" w:rsidRDefault="00DC63E4" w:rsidP="00DC63E4">
            <w:pPr>
              <w:jc w:val="both"/>
              <w:rPr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4723" w:type="dxa"/>
          </w:tcPr>
          <w:p w14:paraId="73098498" w14:textId="77777777" w:rsidR="00DC63E4" w:rsidRDefault="00DC63E4" w:rsidP="00DC63E4">
            <w:pPr>
              <w:jc w:val="both"/>
              <w:rPr>
                <w:noProof/>
                <w:lang w:val="sr-Latn-RS"/>
              </w:rPr>
            </w:pPr>
          </w:p>
        </w:tc>
      </w:tr>
      <w:tr w:rsidR="00622953" w14:paraId="64E64B3F" w14:textId="77777777" w:rsidTr="000D362F">
        <w:tc>
          <w:tcPr>
            <w:tcW w:w="2262" w:type="dxa"/>
          </w:tcPr>
          <w:p w14:paraId="2C4E71C0" w14:textId="79217CBD" w:rsidR="00622953" w:rsidRPr="000D362F" w:rsidRDefault="00622953" w:rsidP="00017C95">
            <w:pPr>
              <w:jc w:val="both"/>
              <w:rPr>
                <w:noProof/>
                <w:sz w:val="22"/>
                <w:szCs w:val="22"/>
                <w:lang w:val="sr-Latn-RS"/>
              </w:rPr>
            </w:pPr>
            <w:r w:rsidRPr="000D362F">
              <w:rPr>
                <w:noProof/>
                <w:sz w:val="22"/>
                <w:szCs w:val="22"/>
                <w:lang w:val="sr-Latn-RS"/>
              </w:rPr>
              <w:t>Na raspolaganju za planirane aktivnosti</w:t>
            </w:r>
          </w:p>
        </w:tc>
        <w:tc>
          <w:tcPr>
            <w:tcW w:w="1138" w:type="dxa"/>
          </w:tcPr>
          <w:p w14:paraId="586EA9E4" w14:textId="77777777" w:rsidR="00622953" w:rsidRPr="000D362F" w:rsidRDefault="00622953" w:rsidP="00017C95">
            <w:pPr>
              <w:jc w:val="both"/>
              <w:rPr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273" w:type="dxa"/>
          </w:tcPr>
          <w:p w14:paraId="2878732F" w14:textId="6E8DE59B" w:rsidR="00622953" w:rsidRPr="000D362F" w:rsidRDefault="00622953" w:rsidP="00DC63E4">
            <w:pPr>
              <w:jc w:val="both"/>
              <w:rPr>
                <w:noProof/>
                <w:sz w:val="22"/>
                <w:szCs w:val="22"/>
                <w:lang w:val="sr-Latn-RS"/>
              </w:rPr>
            </w:pPr>
            <w:r w:rsidRPr="000D362F">
              <w:rPr>
                <w:noProof/>
                <w:sz w:val="22"/>
                <w:szCs w:val="22"/>
                <w:lang w:val="sr-Latn-RS"/>
              </w:rPr>
              <w:t>37.800 €</w:t>
            </w:r>
          </w:p>
        </w:tc>
        <w:tc>
          <w:tcPr>
            <w:tcW w:w="4723" w:type="dxa"/>
          </w:tcPr>
          <w:p w14:paraId="2FE7A65F" w14:textId="77777777" w:rsidR="00622953" w:rsidRDefault="00622953" w:rsidP="00DC63E4">
            <w:pPr>
              <w:jc w:val="both"/>
              <w:rPr>
                <w:noProof/>
                <w:lang w:val="sr-Latn-RS"/>
              </w:rPr>
            </w:pPr>
          </w:p>
        </w:tc>
      </w:tr>
      <w:tr w:rsidR="00654D4C" w14:paraId="020BE561" w14:textId="77777777" w:rsidTr="000D362F">
        <w:trPr>
          <w:trHeight w:val="488"/>
        </w:trPr>
        <w:tc>
          <w:tcPr>
            <w:tcW w:w="2262" w:type="dxa"/>
          </w:tcPr>
          <w:p w14:paraId="72C99720" w14:textId="3C362DCB" w:rsidR="00654D4C" w:rsidRPr="000D362F" w:rsidRDefault="00622953" w:rsidP="00017C95">
            <w:pPr>
              <w:jc w:val="both"/>
              <w:rPr>
                <w:b/>
                <w:bCs/>
                <w:noProof/>
                <w:sz w:val="22"/>
                <w:szCs w:val="22"/>
                <w:lang w:val="sr-Latn-RS"/>
              </w:rPr>
            </w:pPr>
            <w:r w:rsidRPr="000D362F">
              <w:rPr>
                <w:b/>
                <w:bCs/>
                <w:noProof/>
                <w:sz w:val="22"/>
                <w:szCs w:val="22"/>
                <w:lang w:val="sr-Latn-RS"/>
              </w:rPr>
              <w:t>Na raspolaganju za nove aktivnosti</w:t>
            </w:r>
          </w:p>
        </w:tc>
        <w:tc>
          <w:tcPr>
            <w:tcW w:w="1138" w:type="dxa"/>
          </w:tcPr>
          <w:p w14:paraId="3AB7A840" w14:textId="77777777" w:rsidR="00654D4C" w:rsidRPr="000D362F" w:rsidRDefault="00654D4C" w:rsidP="00017C95">
            <w:pPr>
              <w:jc w:val="both"/>
              <w:rPr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273" w:type="dxa"/>
          </w:tcPr>
          <w:p w14:paraId="32BE8262" w14:textId="1D6B6A32" w:rsidR="00654D4C" w:rsidRPr="000D362F" w:rsidRDefault="00654D4C" w:rsidP="00DC63E4">
            <w:pPr>
              <w:jc w:val="both"/>
              <w:rPr>
                <w:b/>
                <w:bCs/>
                <w:noProof/>
                <w:sz w:val="22"/>
                <w:szCs w:val="22"/>
                <w:lang w:val="sr-Latn-RS"/>
              </w:rPr>
            </w:pPr>
            <w:r w:rsidRPr="000D362F">
              <w:rPr>
                <w:b/>
                <w:bCs/>
                <w:noProof/>
                <w:color w:val="EE0000"/>
                <w:sz w:val="22"/>
                <w:szCs w:val="22"/>
                <w:lang w:val="sr-Latn-RS"/>
              </w:rPr>
              <w:t>18.200 €</w:t>
            </w:r>
          </w:p>
        </w:tc>
        <w:tc>
          <w:tcPr>
            <w:tcW w:w="4723" w:type="dxa"/>
          </w:tcPr>
          <w:p w14:paraId="519CA8FD" w14:textId="77777777" w:rsidR="00654D4C" w:rsidRDefault="00654D4C" w:rsidP="00DC63E4">
            <w:pPr>
              <w:jc w:val="both"/>
              <w:rPr>
                <w:noProof/>
                <w:lang w:val="sr-Latn-RS"/>
              </w:rPr>
            </w:pPr>
          </w:p>
        </w:tc>
      </w:tr>
    </w:tbl>
    <w:p w14:paraId="134BD3A2" w14:textId="77777777" w:rsidR="002F15A8" w:rsidRPr="00BD0519" w:rsidRDefault="002F15A8" w:rsidP="00BD0519">
      <w:pPr>
        <w:spacing w:after="0"/>
        <w:jc w:val="center"/>
        <w:rPr>
          <w:rFonts w:ascii="Aptos Display" w:hAnsi="Aptos Display" w:cs="Aptos Display"/>
          <w:b/>
          <w:bCs/>
          <w:noProof/>
          <w:color w:val="215E99" w:themeColor="text2" w:themeTint="BF"/>
          <w:lang w:val="sr-Latn-RS"/>
        </w:rPr>
      </w:pPr>
    </w:p>
    <w:p w14:paraId="00D92BF6" w14:textId="06CC9921" w:rsidR="000D362F" w:rsidRDefault="000D362F" w:rsidP="00BD0519">
      <w:pPr>
        <w:spacing w:after="0"/>
        <w:jc w:val="center"/>
        <w:rPr>
          <w:rFonts w:ascii="Aptos Display" w:hAnsi="Aptos Display" w:cs="Aptos Display"/>
          <w:b/>
          <w:bCs/>
          <w:noProof/>
          <w:color w:val="215E99" w:themeColor="text2" w:themeTint="BF"/>
          <w:lang w:val="sr-Latn-RS"/>
        </w:rPr>
      </w:pPr>
      <w:r w:rsidRPr="00BD0519">
        <w:rPr>
          <w:rFonts w:ascii="Aptos Display" w:hAnsi="Aptos Display" w:cs="Aptos Display"/>
          <w:b/>
          <w:bCs/>
          <w:noProof/>
          <w:color w:val="215E99" w:themeColor="text2" w:themeTint="BF"/>
          <w:lang w:val="sr-Latn-RS"/>
        </w:rPr>
        <w:t>P</w:t>
      </w:r>
      <w:r w:rsidR="00870BB2">
        <w:rPr>
          <w:rFonts w:ascii="Aptos Display" w:hAnsi="Aptos Display" w:cs="Aptos Display"/>
          <w:b/>
          <w:bCs/>
          <w:noProof/>
          <w:color w:val="215E99" w:themeColor="text2" w:themeTint="BF"/>
          <w:lang w:val="sr-Latn-RS"/>
        </w:rPr>
        <w:t>redlog pl</w:t>
      </w:r>
      <w:r w:rsidRPr="00BD0519">
        <w:rPr>
          <w:rFonts w:ascii="Aptos Display" w:hAnsi="Aptos Display" w:cs="Aptos Display"/>
          <w:b/>
          <w:bCs/>
          <w:noProof/>
          <w:color w:val="215E99" w:themeColor="text2" w:themeTint="BF"/>
          <w:lang w:val="sr-Latn-RS"/>
        </w:rPr>
        <w:t>aniran</w:t>
      </w:r>
      <w:r w:rsidR="00870BB2">
        <w:rPr>
          <w:rFonts w:ascii="Aptos Display" w:hAnsi="Aptos Display" w:cs="Aptos Display"/>
          <w:b/>
          <w:bCs/>
          <w:noProof/>
          <w:color w:val="215E99" w:themeColor="text2" w:themeTint="BF"/>
          <w:lang w:val="sr-Latn-RS"/>
        </w:rPr>
        <w:t>ih</w:t>
      </w:r>
      <w:r w:rsidRPr="00BD0519">
        <w:rPr>
          <w:rFonts w:ascii="Aptos Display" w:hAnsi="Aptos Display" w:cs="Aptos Display"/>
          <w:b/>
          <w:bCs/>
          <w:noProof/>
          <w:color w:val="215E99" w:themeColor="text2" w:themeTint="BF"/>
          <w:lang w:val="sr-Latn-RS"/>
        </w:rPr>
        <w:t xml:space="preserve"> aktivnosti i budžet</w:t>
      </w:r>
      <w:r w:rsidR="00870BB2">
        <w:rPr>
          <w:rFonts w:ascii="Aptos Display" w:hAnsi="Aptos Display" w:cs="Aptos Display"/>
          <w:b/>
          <w:bCs/>
          <w:noProof/>
          <w:color w:val="215E99" w:themeColor="text2" w:themeTint="BF"/>
          <w:lang w:val="sr-Latn-RS"/>
        </w:rPr>
        <w:t>a (2026-2027)</w:t>
      </w:r>
    </w:p>
    <w:p w14:paraId="36683B5B" w14:textId="77777777" w:rsidR="00BD0519" w:rsidRPr="00BD0519" w:rsidRDefault="00BD0519" w:rsidP="00BD0519">
      <w:pPr>
        <w:spacing w:after="0"/>
        <w:jc w:val="center"/>
        <w:rPr>
          <w:rFonts w:ascii="Aptos Display" w:hAnsi="Aptos Display" w:cs="Aptos Display"/>
          <w:b/>
          <w:bCs/>
          <w:noProof/>
          <w:color w:val="215E99" w:themeColor="text2" w:themeTint="BF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843"/>
      </w:tblGrid>
      <w:tr w:rsidR="00483C93" w14:paraId="6646B15B" w14:textId="77777777" w:rsidTr="00483C93">
        <w:tc>
          <w:tcPr>
            <w:tcW w:w="7508" w:type="dxa"/>
            <w:shd w:val="clear" w:color="auto" w:fill="A5C9EB" w:themeFill="text2" w:themeFillTint="40"/>
          </w:tcPr>
          <w:p w14:paraId="7A654FDF" w14:textId="77777777" w:rsidR="00483C93" w:rsidRPr="000D362F" w:rsidRDefault="00483C93" w:rsidP="00755E97">
            <w:pPr>
              <w:jc w:val="both"/>
              <w:rPr>
                <w:b/>
                <w:bCs/>
                <w:noProof/>
                <w:sz w:val="22"/>
                <w:szCs w:val="22"/>
                <w:lang w:val="sr-Latn-RS"/>
              </w:rPr>
            </w:pPr>
            <w:r w:rsidRPr="000D362F">
              <w:rPr>
                <w:rFonts w:ascii="Aptos" w:eastAsia="Times New Roman" w:hAnsi="Aptos"/>
                <w:b/>
                <w:bCs/>
                <w:noProof/>
                <w:sz w:val="22"/>
                <w:szCs w:val="22"/>
                <w:lang w:val="sr-Latn-RS"/>
              </w:rPr>
              <w:t>Aktivnosti</w:t>
            </w:r>
          </w:p>
        </w:tc>
        <w:tc>
          <w:tcPr>
            <w:tcW w:w="1843" w:type="dxa"/>
            <w:shd w:val="clear" w:color="auto" w:fill="A5C9EB" w:themeFill="text2" w:themeFillTint="40"/>
          </w:tcPr>
          <w:p w14:paraId="1BB628DB" w14:textId="641CAACB" w:rsidR="00483C93" w:rsidRPr="000D362F" w:rsidRDefault="00483C93" w:rsidP="00755E97">
            <w:pPr>
              <w:jc w:val="both"/>
              <w:rPr>
                <w:b/>
                <w:bCs/>
                <w:noProof/>
                <w:sz w:val="22"/>
                <w:szCs w:val="22"/>
                <w:lang w:val="sr-Latn-RS"/>
              </w:rPr>
            </w:pPr>
            <w:r>
              <w:rPr>
                <w:b/>
                <w:bCs/>
                <w:noProof/>
                <w:sz w:val="22"/>
                <w:szCs w:val="22"/>
                <w:lang w:val="en-GB"/>
              </w:rPr>
              <w:t>Procjena potrebnih sredstava</w:t>
            </w:r>
          </w:p>
        </w:tc>
      </w:tr>
      <w:tr w:rsidR="00483C93" w14:paraId="08E3EEB6" w14:textId="77777777" w:rsidTr="00483C93">
        <w:tc>
          <w:tcPr>
            <w:tcW w:w="7508" w:type="dxa"/>
          </w:tcPr>
          <w:p w14:paraId="410EE133" w14:textId="603C780C" w:rsidR="00483C93" w:rsidRPr="002E4EAC" w:rsidRDefault="00483C93" w:rsidP="00755E97">
            <w:pPr>
              <w:jc w:val="both"/>
              <w:rPr>
                <w:noProof/>
                <w:sz w:val="22"/>
                <w:szCs w:val="22"/>
                <w:lang w:val="sr-Latn-RS"/>
              </w:rPr>
            </w:pPr>
            <w:r w:rsidRPr="002E4EAC">
              <w:rPr>
                <w:noProof/>
                <w:sz w:val="22"/>
                <w:szCs w:val="22"/>
                <w:lang w:val="en-GB"/>
              </w:rPr>
              <w:t>P</w:t>
            </w:r>
            <w:r w:rsidRPr="002E4EAC">
              <w:rPr>
                <w:noProof/>
                <w:sz w:val="22"/>
                <w:szCs w:val="22"/>
                <w:lang w:val="en-GB"/>
              </w:rPr>
              <w:t>riprem</w:t>
            </w:r>
            <w:r>
              <w:rPr>
                <w:noProof/>
                <w:sz w:val="22"/>
                <w:szCs w:val="22"/>
                <w:lang w:val="en-GB"/>
              </w:rPr>
              <w:t>a</w:t>
            </w:r>
            <w:r w:rsidRPr="002E4EAC">
              <w:rPr>
                <w:noProof/>
                <w:sz w:val="22"/>
                <w:szCs w:val="22"/>
                <w:lang w:val="en-GB"/>
              </w:rPr>
              <w:t xml:space="preserve"> izvještaja o realizaciji sveukupne Strategije za mlade</w:t>
            </w:r>
            <w:r w:rsidR="00CD47FA">
              <w:rPr>
                <w:noProof/>
                <w:sz w:val="22"/>
                <w:szCs w:val="22"/>
                <w:lang w:val="en-GB"/>
              </w:rPr>
              <w:t xml:space="preserve"> 2023-2027</w:t>
            </w:r>
          </w:p>
        </w:tc>
        <w:tc>
          <w:tcPr>
            <w:tcW w:w="1843" w:type="dxa"/>
          </w:tcPr>
          <w:p w14:paraId="6DA48474" w14:textId="450CA300" w:rsidR="00483C93" w:rsidRPr="000D362F" w:rsidRDefault="00483C93" w:rsidP="00755E97">
            <w:pPr>
              <w:jc w:val="both"/>
              <w:rPr>
                <w:noProof/>
                <w:sz w:val="22"/>
                <w:szCs w:val="22"/>
                <w:lang w:val="en-GB"/>
              </w:rPr>
            </w:pPr>
            <w:r>
              <w:rPr>
                <w:noProof/>
                <w:sz w:val="22"/>
                <w:szCs w:val="22"/>
                <w:lang w:val="en-GB"/>
              </w:rPr>
              <w:t>5.000 €</w:t>
            </w:r>
          </w:p>
        </w:tc>
      </w:tr>
      <w:tr w:rsidR="00483C93" w14:paraId="07A0FBFB" w14:textId="77777777" w:rsidTr="00483C93">
        <w:tc>
          <w:tcPr>
            <w:tcW w:w="7508" w:type="dxa"/>
          </w:tcPr>
          <w:p w14:paraId="2B4979C9" w14:textId="7FA2123D" w:rsidR="00483C93" w:rsidRPr="002E4EAC" w:rsidRDefault="00483C93" w:rsidP="00755E97">
            <w:pPr>
              <w:jc w:val="both"/>
              <w:rPr>
                <w:noProof/>
                <w:sz w:val="22"/>
                <w:szCs w:val="22"/>
                <w:lang w:val="sr-Latn-RS"/>
              </w:rPr>
            </w:pPr>
            <w:r w:rsidRPr="002E4EAC">
              <w:rPr>
                <w:noProof/>
                <w:sz w:val="22"/>
                <w:szCs w:val="22"/>
                <w:lang w:val="sr-Latn-RS"/>
              </w:rPr>
              <w:t>Evaluacija Strategije za mlade 2023-2027</w:t>
            </w:r>
          </w:p>
        </w:tc>
        <w:tc>
          <w:tcPr>
            <w:tcW w:w="1843" w:type="dxa"/>
          </w:tcPr>
          <w:p w14:paraId="3CD1DA4E" w14:textId="20C37057" w:rsidR="00483C93" w:rsidRPr="000D362F" w:rsidRDefault="00483C93" w:rsidP="00755E97">
            <w:pPr>
              <w:jc w:val="both"/>
              <w:rPr>
                <w:noProof/>
                <w:sz w:val="22"/>
                <w:szCs w:val="22"/>
                <w:lang w:val="sr-Latn-RS"/>
              </w:rPr>
            </w:pPr>
            <w:r>
              <w:rPr>
                <w:noProof/>
                <w:sz w:val="22"/>
                <w:szCs w:val="22"/>
                <w:lang w:val="sr-Latn-RS"/>
              </w:rPr>
              <w:t>5.000 €</w:t>
            </w:r>
          </w:p>
        </w:tc>
      </w:tr>
      <w:tr w:rsidR="00483C93" w14:paraId="51AC4472" w14:textId="77777777" w:rsidTr="00483C93">
        <w:tc>
          <w:tcPr>
            <w:tcW w:w="7508" w:type="dxa"/>
          </w:tcPr>
          <w:p w14:paraId="1A7BC1E5" w14:textId="6874BEF6" w:rsidR="00483C93" w:rsidRPr="002E4EAC" w:rsidRDefault="00483C93" w:rsidP="00755E97">
            <w:pPr>
              <w:jc w:val="both"/>
              <w:rPr>
                <w:noProof/>
                <w:sz w:val="22"/>
                <w:szCs w:val="22"/>
                <w:lang w:val="sr-Latn-RS"/>
              </w:rPr>
            </w:pPr>
            <w:r w:rsidRPr="002E4EAC">
              <w:rPr>
                <w:noProof/>
                <w:sz w:val="22"/>
                <w:szCs w:val="22"/>
                <w:lang w:val="sr-Latn-RS"/>
              </w:rPr>
              <w:t>Priprema nove Strategije za mlade</w:t>
            </w:r>
          </w:p>
        </w:tc>
        <w:tc>
          <w:tcPr>
            <w:tcW w:w="1843" w:type="dxa"/>
          </w:tcPr>
          <w:p w14:paraId="18CA20C5" w14:textId="4A56CB89" w:rsidR="00483C93" w:rsidRPr="000D362F" w:rsidRDefault="00483C93" w:rsidP="00755E97">
            <w:pPr>
              <w:jc w:val="both"/>
              <w:rPr>
                <w:noProof/>
                <w:sz w:val="22"/>
                <w:szCs w:val="22"/>
                <w:lang w:val="sr-Latn-RS"/>
              </w:rPr>
            </w:pPr>
            <w:r>
              <w:rPr>
                <w:noProof/>
                <w:sz w:val="22"/>
                <w:szCs w:val="22"/>
                <w:lang w:val="sr-Latn-RS"/>
              </w:rPr>
              <w:t>10.000 €</w:t>
            </w:r>
          </w:p>
        </w:tc>
      </w:tr>
      <w:tr w:rsidR="00483C93" w14:paraId="3A6A2C50" w14:textId="77777777" w:rsidTr="00483C93">
        <w:tc>
          <w:tcPr>
            <w:tcW w:w="7508" w:type="dxa"/>
          </w:tcPr>
          <w:p w14:paraId="13C3F942" w14:textId="36788316" w:rsidR="00483C93" w:rsidRPr="000D362F" w:rsidRDefault="00483C93" w:rsidP="00755E97">
            <w:pPr>
              <w:jc w:val="both"/>
              <w:rPr>
                <w:noProof/>
                <w:sz w:val="22"/>
                <w:szCs w:val="22"/>
                <w:lang w:val="sr-Latn-RS"/>
              </w:rPr>
            </w:pPr>
            <w:r>
              <w:rPr>
                <w:noProof/>
                <w:sz w:val="22"/>
                <w:szCs w:val="22"/>
                <w:lang w:val="sr-Latn-RS"/>
              </w:rPr>
              <w:t>Izrada podzakonskih akata</w:t>
            </w:r>
          </w:p>
        </w:tc>
        <w:tc>
          <w:tcPr>
            <w:tcW w:w="1843" w:type="dxa"/>
          </w:tcPr>
          <w:p w14:paraId="603E0D93" w14:textId="017F8B07" w:rsidR="00483C93" w:rsidRPr="000D362F" w:rsidRDefault="00483C93" w:rsidP="00755E97">
            <w:pPr>
              <w:jc w:val="both"/>
              <w:rPr>
                <w:noProof/>
                <w:sz w:val="22"/>
                <w:szCs w:val="22"/>
                <w:lang w:val="sr-Latn-RS"/>
              </w:rPr>
            </w:pPr>
            <w:r>
              <w:rPr>
                <w:noProof/>
                <w:sz w:val="22"/>
                <w:szCs w:val="22"/>
                <w:lang w:val="sr-Latn-RS"/>
              </w:rPr>
              <w:t>20.000 €</w:t>
            </w:r>
          </w:p>
        </w:tc>
      </w:tr>
      <w:tr w:rsidR="00483C93" w14:paraId="4D88B28D" w14:textId="77777777" w:rsidTr="00483C93">
        <w:tc>
          <w:tcPr>
            <w:tcW w:w="7508" w:type="dxa"/>
          </w:tcPr>
          <w:p w14:paraId="45EF7000" w14:textId="75C654A7" w:rsidR="00483C93" w:rsidRPr="000D362F" w:rsidRDefault="00483C93" w:rsidP="00755E97">
            <w:pPr>
              <w:jc w:val="both"/>
              <w:rPr>
                <w:noProof/>
                <w:sz w:val="22"/>
                <w:szCs w:val="22"/>
                <w:lang w:val="sr-Latn-RS"/>
              </w:rPr>
            </w:pPr>
            <w:r>
              <w:rPr>
                <w:noProof/>
                <w:sz w:val="22"/>
                <w:szCs w:val="22"/>
                <w:lang w:val="sr-Latn-RS"/>
              </w:rPr>
              <w:t>Obuka administratora</w:t>
            </w:r>
          </w:p>
        </w:tc>
        <w:tc>
          <w:tcPr>
            <w:tcW w:w="1843" w:type="dxa"/>
          </w:tcPr>
          <w:p w14:paraId="0DA88319" w14:textId="5E26C4B0" w:rsidR="00483C93" w:rsidRPr="00573CF5" w:rsidRDefault="00483C93" w:rsidP="00755E97">
            <w:pPr>
              <w:jc w:val="both"/>
              <w:rPr>
                <w:noProof/>
                <w:sz w:val="22"/>
                <w:szCs w:val="22"/>
                <w:lang w:val="sr-Latn-RS"/>
              </w:rPr>
            </w:pPr>
            <w:r w:rsidRPr="00573CF5">
              <w:rPr>
                <w:noProof/>
                <w:sz w:val="22"/>
                <w:szCs w:val="22"/>
                <w:lang w:val="sr-Latn-RS"/>
              </w:rPr>
              <w:t>15.000 €</w:t>
            </w:r>
          </w:p>
        </w:tc>
      </w:tr>
      <w:tr w:rsidR="00483C93" w14:paraId="7CDE3039" w14:textId="77777777" w:rsidTr="00192A8F">
        <w:trPr>
          <w:trHeight w:val="664"/>
        </w:trPr>
        <w:tc>
          <w:tcPr>
            <w:tcW w:w="7508" w:type="dxa"/>
          </w:tcPr>
          <w:p w14:paraId="18162B87" w14:textId="180D6A84" w:rsidR="00483C93" w:rsidRDefault="00483C93" w:rsidP="00755E97">
            <w:pPr>
              <w:jc w:val="both"/>
              <w:rPr>
                <w:noProof/>
                <w:sz w:val="22"/>
                <w:szCs w:val="22"/>
                <w:lang w:val="sr-Latn-RS"/>
              </w:rPr>
            </w:pPr>
            <w:r>
              <w:rPr>
                <w:noProof/>
                <w:sz w:val="22"/>
                <w:szCs w:val="22"/>
                <w:lang w:val="sr-Latn-RS"/>
              </w:rPr>
              <w:t>P</w:t>
            </w:r>
            <w:r w:rsidRPr="002F15A8">
              <w:rPr>
                <w:noProof/>
                <w:sz w:val="22"/>
                <w:szCs w:val="22"/>
                <w:lang w:val="sr-Latn-RS"/>
              </w:rPr>
              <w:t>rogram obuke o omladinskoj politici namijenjenu državnim i lokalnim službenicima</w:t>
            </w:r>
          </w:p>
        </w:tc>
        <w:tc>
          <w:tcPr>
            <w:tcW w:w="1843" w:type="dxa"/>
          </w:tcPr>
          <w:p w14:paraId="259093BD" w14:textId="0E44D0A8" w:rsidR="00483C93" w:rsidRPr="00573CF5" w:rsidRDefault="00483C93" w:rsidP="00755E97">
            <w:pPr>
              <w:jc w:val="both"/>
              <w:rPr>
                <w:noProof/>
                <w:sz w:val="22"/>
                <w:szCs w:val="22"/>
                <w:lang w:val="sr-Latn-RS"/>
              </w:rPr>
            </w:pPr>
            <w:r>
              <w:rPr>
                <w:noProof/>
                <w:sz w:val="22"/>
                <w:szCs w:val="22"/>
                <w:lang w:val="sr-Latn-RS"/>
              </w:rPr>
              <w:t>25.000 €</w:t>
            </w:r>
          </w:p>
        </w:tc>
      </w:tr>
      <w:tr w:rsidR="00483C93" w14:paraId="1D6D12D6" w14:textId="77777777" w:rsidTr="00483C93">
        <w:tc>
          <w:tcPr>
            <w:tcW w:w="7508" w:type="dxa"/>
          </w:tcPr>
          <w:p w14:paraId="1036A105" w14:textId="5695F167" w:rsidR="00483C93" w:rsidRPr="000D362F" w:rsidRDefault="00483C93" w:rsidP="00755E97">
            <w:pPr>
              <w:jc w:val="both"/>
              <w:rPr>
                <w:noProof/>
                <w:sz w:val="22"/>
                <w:szCs w:val="22"/>
                <w:lang w:val="sr-Latn-RS"/>
              </w:rPr>
            </w:pPr>
            <w:r w:rsidRPr="00573CF5">
              <w:rPr>
                <w:noProof/>
                <w:sz w:val="22"/>
                <w:szCs w:val="22"/>
                <w:lang w:val="sr-Latn-RS"/>
              </w:rPr>
              <w:t>K</w:t>
            </w:r>
            <w:r w:rsidRPr="00573CF5">
              <w:rPr>
                <w:noProof/>
                <w:sz w:val="22"/>
                <w:szCs w:val="22"/>
                <w:lang w:val="sr-Latn-RS"/>
              </w:rPr>
              <w:t>omunikacij</w:t>
            </w:r>
            <w:r w:rsidRPr="00573CF5">
              <w:rPr>
                <w:noProof/>
                <w:sz w:val="22"/>
                <w:szCs w:val="22"/>
                <w:lang w:val="sr-Latn-RS"/>
              </w:rPr>
              <w:t>a</w:t>
            </w:r>
            <w:r w:rsidRPr="00573CF5">
              <w:rPr>
                <w:noProof/>
                <w:sz w:val="22"/>
                <w:szCs w:val="22"/>
                <w:lang w:val="sr-Latn-RS"/>
              </w:rPr>
              <w:t xml:space="preserve"> i promocij</w:t>
            </w:r>
            <w:r w:rsidRPr="00573CF5">
              <w:rPr>
                <w:noProof/>
                <w:sz w:val="22"/>
                <w:szCs w:val="22"/>
                <w:lang w:val="sr-Latn-RS"/>
              </w:rPr>
              <w:t>a</w:t>
            </w:r>
            <w:r w:rsidRPr="00573CF5">
              <w:rPr>
                <w:noProof/>
                <w:sz w:val="22"/>
                <w:szCs w:val="22"/>
                <w:lang w:val="sr-Latn-RS"/>
              </w:rPr>
              <w:t xml:space="preserve"> rezultata ministarstva</w:t>
            </w:r>
            <w:r>
              <w:rPr>
                <w:b/>
                <w:bCs/>
                <w:noProof/>
                <w:lang w:val="en-GB"/>
              </w:rPr>
              <w:t xml:space="preserve"> </w:t>
            </w:r>
          </w:p>
        </w:tc>
        <w:tc>
          <w:tcPr>
            <w:tcW w:w="1843" w:type="dxa"/>
          </w:tcPr>
          <w:p w14:paraId="1ACBEF78" w14:textId="4AE6B9BE" w:rsidR="00483C93" w:rsidRPr="000D362F" w:rsidRDefault="00483C93" w:rsidP="00755E97">
            <w:pPr>
              <w:jc w:val="both"/>
              <w:rPr>
                <w:noProof/>
                <w:sz w:val="22"/>
                <w:szCs w:val="22"/>
                <w:lang w:val="sr-Latn-RS"/>
              </w:rPr>
            </w:pPr>
            <w:r>
              <w:rPr>
                <w:noProof/>
                <w:sz w:val="22"/>
                <w:szCs w:val="22"/>
                <w:lang w:val="sr-Latn-RS"/>
              </w:rPr>
              <w:t>10.000 €</w:t>
            </w:r>
          </w:p>
        </w:tc>
      </w:tr>
      <w:tr w:rsidR="00483C93" w14:paraId="38416275" w14:textId="77777777" w:rsidTr="00483C93">
        <w:tc>
          <w:tcPr>
            <w:tcW w:w="7508" w:type="dxa"/>
          </w:tcPr>
          <w:p w14:paraId="0C5162EE" w14:textId="63EDF43D" w:rsidR="00483C93" w:rsidRPr="00573CF5" w:rsidRDefault="00483C93" w:rsidP="00755E97">
            <w:pPr>
              <w:jc w:val="both"/>
              <w:rPr>
                <w:noProof/>
                <w:sz w:val="22"/>
                <w:szCs w:val="22"/>
                <w:lang w:val="sr-Latn-RS"/>
              </w:rPr>
            </w:pPr>
            <w:r>
              <w:rPr>
                <w:noProof/>
                <w:sz w:val="22"/>
                <w:szCs w:val="22"/>
                <w:lang w:val="sr-Latn-RS"/>
              </w:rPr>
              <w:t>Menadžment</w:t>
            </w:r>
            <w:r w:rsidR="00AD5CCE">
              <w:rPr>
                <w:noProof/>
                <w:sz w:val="22"/>
                <w:szCs w:val="22"/>
                <w:lang w:val="sr-Latn-RS"/>
              </w:rPr>
              <w:t xml:space="preserve"> i GMS</w:t>
            </w:r>
          </w:p>
        </w:tc>
        <w:tc>
          <w:tcPr>
            <w:tcW w:w="1843" w:type="dxa"/>
          </w:tcPr>
          <w:p w14:paraId="294D02CE" w14:textId="6D2B32C9" w:rsidR="00483C93" w:rsidRDefault="001D1239" w:rsidP="00755E97">
            <w:pPr>
              <w:jc w:val="both"/>
              <w:rPr>
                <w:noProof/>
                <w:sz w:val="22"/>
                <w:szCs w:val="22"/>
                <w:lang w:val="sr-Latn-RS"/>
              </w:rPr>
            </w:pPr>
            <w:r>
              <w:rPr>
                <w:noProof/>
                <w:sz w:val="22"/>
                <w:szCs w:val="22"/>
                <w:lang w:val="sr-Latn-RS"/>
              </w:rPr>
              <w:t>30</w:t>
            </w:r>
            <w:r w:rsidR="00483C93">
              <w:rPr>
                <w:noProof/>
                <w:sz w:val="22"/>
                <w:szCs w:val="22"/>
                <w:lang w:val="sr-Latn-RS"/>
              </w:rPr>
              <w:t>.000 €</w:t>
            </w:r>
          </w:p>
        </w:tc>
      </w:tr>
      <w:tr w:rsidR="00483C93" w14:paraId="74C2232F" w14:textId="77777777" w:rsidTr="00483C93">
        <w:trPr>
          <w:trHeight w:val="488"/>
        </w:trPr>
        <w:tc>
          <w:tcPr>
            <w:tcW w:w="7508" w:type="dxa"/>
          </w:tcPr>
          <w:p w14:paraId="7C7867F1" w14:textId="4177BE03" w:rsidR="00483C93" w:rsidRPr="000D362F" w:rsidRDefault="00483C93" w:rsidP="00755E97">
            <w:pPr>
              <w:jc w:val="both"/>
              <w:rPr>
                <w:b/>
                <w:bCs/>
                <w:noProof/>
                <w:sz w:val="22"/>
                <w:szCs w:val="22"/>
                <w:lang w:val="sr-Latn-RS"/>
              </w:rPr>
            </w:pPr>
            <w:r>
              <w:rPr>
                <w:b/>
                <w:bCs/>
                <w:noProof/>
                <w:sz w:val="22"/>
                <w:szCs w:val="22"/>
                <w:lang w:val="sr-Latn-RS"/>
              </w:rPr>
              <w:t>Ukupno</w:t>
            </w:r>
          </w:p>
        </w:tc>
        <w:tc>
          <w:tcPr>
            <w:tcW w:w="1843" w:type="dxa"/>
          </w:tcPr>
          <w:p w14:paraId="32387E57" w14:textId="165EE5E2" w:rsidR="00483C93" w:rsidRPr="00483C93" w:rsidRDefault="00483C93" w:rsidP="00755E97">
            <w:pPr>
              <w:jc w:val="both"/>
              <w:rPr>
                <w:b/>
                <w:bCs/>
                <w:noProof/>
                <w:sz w:val="22"/>
                <w:szCs w:val="22"/>
                <w:lang w:val="sr-Latn-RS"/>
              </w:rPr>
            </w:pPr>
            <w:r w:rsidRPr="00483C93">
              <w:rPr>
                <w:b/>
                <w:bCs/>
                <w:noProof/>
                <w:sz w:val="22"/>
                <w:szCs w:val="22"/>
                <w:lang w:val="sr-Latn-RS"/>
              </w:rPr>
              <w:t>1</w:t>
            </w:r>
            <w:r w:rsidR="001D1239">
              <w:rPr>
                <w:b/>
                <w:bCs/>
                <w:noProof/>
                <w:sz w:val="22"/>
                <w:szCs w:val="22"/>
                <w:lang w:val="sr-Latn-RS"/>
              </w:rPr>
              <w:t>20</w:t>
            </w:r>
            <w:r w:rsidRPr="00483C93">
              <w:rPr>
                <w:b/>
                <w:bCs/>
                <w:noProof/>
                <w:sz w:val="22"/>
                <w:szCs w:val="22"/>
                <w:lang w:val="sr-Latn-RS"/>
              </w:rPr>
              <w:t>.000 €</w:t>
            </w:r>
          </w:p>
        </w:tc>
      </w:tr>
      <w:tr w:rsidR="00483C93" w14:paraId="19E79D2B" w14:textId="77777777" w:rsidTr="00483C93">
        <w:trPr>
          <w:trHeight w:val="488"/>
        </w:trPr>
        <w:tc>
          <w:tcPr>
            <w:tcW w:w="7508" w:type="dxa"/>
          </w:tcPr>
          <w:p w14:paraId="2D945426" w14:textId="1C408734" w:rsidR="00483C93" w:rsidRDefault="00483C93" w:rsidP="00755E97">
            <w:pPr>
              <w:jc w:val="both"/>
              <w:rPr>
                <w:b/>
                <w:bCs/>
                <w:noProof/>
                <w:sz w:val="22"/>
                <w:szCs w:val="22"/>
                <w:lang w:val="sr-Latn-RS"/>
              </w:rPr>
            </w:pPr>
            <w:r>
              <w:rPr>
                <w:b/>
                <w:bCs/>
                <w:noProof/>
                <w:sz w:val="22"/>
                <w:szCs w:val="22"/>
                <w:lang w:val="sr-Latn-RS"/>
              </w:rPr>
              <w:t>Dostupno</w:t>
            </w:r>
          </w:p>
        </w:tc>
        <w:tc>
          <w:tcPr>
            <w:tcW w:w="1843" w:type="dxa"/>
          </w:tcPr>
          <w:p w14:paraId="2E6D000F" w14:textId="54B5679A" w:rsidR="00483C93" w:rsidRPr="00483C93" w:rsidRDefault="00483C93" w:rsidP="00755E97">
            <w:pPr>
              <w:jc w:val="both"/>
              <w:rPr>
                <w:b/>
                <w:bCs/>
                <w:noProof/>
                <w:sz w:val="22"/>
                <w:szCs w:val="22"/>
                <w:lang w:val="sr-Latn-RS"/>
              </w:rPr>
            </w:pPr>
            <w:r w:rsidRPr="00483C93">
              <w:rPr>
                <w:b/>
                <w:bCs/>
                <w:noProof/>
                <w:color w:val="00B050"/>
                <w:sz w:val="22"/>
                <w:szCs w:val="22"/>
                <w:lang w:val="sr-Latn-RS"/>
              </w:rPr>
              <w:t>18.200 €</w:t>
            </w:r>
          </w:p>
        </w:tc>
      </w:tr>
      <w:tr w:rsidR="00483C93" w14:paraId="29D0EBC8" w14:textId="77777777" w:rsidTr="00483C93">
        <w:trPr>
          <w:trHeight w:val="488"/>
        </w:trPr>
        <w:tc>
          <w:tcPr>
            <w:tcW w:w="7508" w:type="dxa"/>
          </w:tcPr>
          <w:p w14:paraId="652DFF68" w14:textId="35C6C48C" w:rsidR="00483C93" w:rsidRDefault="00483C93" w:rsidP="00755E97">
            <w:pPr>
              <w:jc w:val="both"/>
              <w:rPr>
                <w:b/>
                <w:bCs/>
                <w:noProof/>
                <w:sz w:val="22"/>
                <w:szCs w:val="22"/>
                <w:lang w:val="sr-Latn-RS"/>
              </w:rPr>
            </w:pPr>
            <w:r>
              <w:rPr>
                <w:b/>
                <w:bCs/>
                <w:noProof/>
                <w:sz w:val="22"/>
                <w:szCs w:val="22"/>
                <w:lang w:val="sr-Latn-RS"/>
              </w:rPr>
              <w:t>Nedostajuća sredstva</w:t>
            </w:r>
          </w:p>
        </w:tc>
        <w:tc>
          <w:tcPr>
            <w:tcW w:w="1843" w:type="dxa"/>
          </w:tcPr>
          <w:p w14:paraId="30AC1A1D" w14:textId="3F01BEE7" w:rsidR="00483C93" w:rsidRPr="00CD47FA" w:rsidRDefault="00383A18" w:rsidP="00755E97">
            <w:pPr>
              <w:jc w:val="both"/>
              <w:rPr>
                <w:b/>
                <w:bCs/>
                <w:noProof/>
                <w:sz w:val="22"/>
                <w:szCs w:val="22"/>
                <w:lang w:val="sr-Latn-RS"/>
              </w:rPr>
            </w:pPr>
            <w:r>
              <w:rPr>
                <w:b/>
                <w:bCs/>
                <w:noProof/>
                <w:color w:val="EE0000"/>
                <w:sz w:val="22"/>
                <w:szCs w:val="22"/>
                <w:lang w:val="sr-Latn-RS"/>
              </w:rPr>
              <w:t>101</w:t>
            </w:r>
            <w:r w:rsidR="00CD47FA" w:rsidRPr="00CD47FA">
              <w:rPr>
                <w:b/>
                <w:bCs/>
                <w:noProof/>
                <w:color w:val="EE0000"/>
                <w:sz w:val="22"/>
                <w:szCs w:val="22"/>
                <w:lang w:val="sr-Latn-RS"/>
              </w:rPr>
              <w:t>.800 €</w:t>
            </w:r>
          </w:p>
        </w:tc>
      </w:tr>
    </w:tbl>
    <w:p w14:paraId="693E00C1" w14:textId="77777777" w:rsidR="000D362F" w:rsidRPr="000D362F" w:rsidRDefault="000D362F" w:rsidP="000D362F">
      <w:pPr>
        <w:jc w:val="center"/>
        <w:rPr>
          <w:b/>
          <w:bCs/>
          <w:noProof/>
          <w:lang w:val="en-GB"/>
        </w:rPr>
      </w:pPr>
    </w:p>
    <w:sectPr w:rsidR="000D362F" w:rsidRPr="000D362F" w:rsidSect="00A37CE6">
      <w:footerReference w:type="default" r:id="rId11"/>
      <w:headerReference w:type="first" r:id="rId12"/>
      <w:pgSz w:w="12240" w:h="15840"/>
      <w:pgMar w:top="143" w:right="1417" w:bottom="284" w:left="1417" w:header="153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25C85" w14:textId="77777777" w:rsidR="00B50B2B" w:rsidRDefault="00B50B2B" w:rsidP="006418CE">
      <w:pPr>
        <w:spacing w:after="0" w:line="240" w:lineRule="auto"/>
      </w:pPr>
      <w:r>
        <w:separator/>
      </w:r>
    </w:p>
  </w:endnote>
  <w:endnote w:type="continuationSeparator" w:id="0">
    <w:p w14:paraId="1C6F8CC7" w14:textId="77777777" w:rsidR="00B50B2B" w:rsidRDefault="00B50B2B" w:rsidP="00641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2915A" w14:textId="69DE9F93" w:rsidR="00525D58" w:rsidRPr="00A37CE6" w:rsidRDefault="00525D58" w:rsidP="00525D58">
    <w:pPr>
      <w:pStyle w:val="Footer"/>
      <w:jc w:val="right"/>
      <w:rPr>
        <w:sz w:val="20"/>
        <w:szCs w:val="20"/>
      </w:rPr>
    </w:pPr>
    <w:r w:rsidRPr="00A37CE6">
      <w:rPr>
        <w:sz w:val="20"/>
        <w:szCs w:val="20"/>
      </w:rPr>
      <w:fldChar w:fldCharType="begin"/>
    </w:r>
    <w:r w:rsidRPr="00A37CE6">
      <w:rPr>
        <w:sz w:val="20"/>
        <w:szCs w:val="20"/>
      </w:rPr>
      <w:instrText xml:space="preserve"> PAGE   \* MERGEFORMAT </w:instrText>
    </w:r>
    <w:r w:rsidRPr="00A37CE6">
      <w:rPr>
        <w:sz w:val="20"/>
        <w:szCs w:val="20"/>
      </w:rPr>
      <w:fldChar w:fldCharType="separate"/>
    </w:r>
    <w:r w:rsidRPr="00A37CE6">
      <w:rPr>
        <w:noProof/>
        <w:sz w:val="20"/>
        <w:szCs w:val="20"/>
      </w:rPr>
      <w:t>2</w:t>
    </w:r>
    <w:r w:rsidRPr="00A37CE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C73FB" w14:textId="77777777" w:rsidR="00B50B2B" w:rsidRDefault="00B50B2B" w:rsidP="006418CE">
      <w:pPr>
        <w:spacing w:after="0" w:line="240" w:lineRule="auto"/>
      </w:pPr>
      <w:r>
        <w:separator/>
      </w:r>
    </w:p>
  </w:footnote>
  <w:footnote w:type="continuationSeparator" w:id="0">
    <w:p w14:paraId="0C58E9D3" w14:textId="77777777" w:rsidR="00B50B2B" w:rsidRDefault="00B50B2B" w:rsidP="00641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706"/>
      <w:gridCol w:w="4700"/>
    </w:tblGrid>
    <w:tr w:rsidR="00136E45" w14:paraId="4405A3E6" w14:textId="77777777" w:rsidTr="00A37CE6">
      <w:trPr>
        <w:trHeight w:val="1850"/>
      </w:trPr>
      <w:tc>
        <w:tcPr>
          <w:tcW w:w="4885" w:type="dxa"/>
        </w:tcPr>
        <w:p w14:paraId="42570C2E" w14:textId="77777777" w:rsidR="00525D58" w:rsidRPr="00136E45" w:rsidRDefault="00525D58" w:rsidP="00525D58">
          <w:pPr>
            <w:pStyle w:val="Header"/>
            <w:rPr>
              <w:rFonts w:ascii="Calibri" w:eastAsia="Calibri" w:hAnsi="Calibri"/>
              <w:noProof/>
              <w:sz w:val="22"/>
              <w:szCs w:val="22"/>
              <w:lang w:val="en-GB" w:eastAsia="en-US"/>
            </w:rPr>
          </w:pPr>
        </w:p>
        <w:p w14:paraId="207B1FDF" w14:textId="0E8C095D" w:rsidR="00525D58" w:rsidRPr="00136E45" w:rsidRDefault="00A37CE6" w:rsidP="00525D58">
          <w:pPr>
            <w:pStyle w:val="Header"/>
            <w:rPr>
              <w:rFonts w:ascii="Calibri" w:eastAsia="Calibri" w:hAnsi="Calibri"/>
              <w:noProof/>
              <w:sz w:val="22"/>
              <w:szCs w:val="22"/>
              <w:lang w:val="en-GB"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  <w:lang w:val="en-GB" w:eastAsia="en-US"/>
            </w:rPr>
            <w:drawing>
              <wp:inline distT="0" distB="0" distL="0" distR="0" wp14:anchorId="2D4FDBAD" wp14:editId="6BAB39BC">
                <wp:extent cx="619054" cy="589292"/>
                <wp:effectExtent l="0" t="0" r="0" b="1270"/>
                <wp:docPr id="1076829759" name="Picture 10768297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2790" cy="5928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DB426C1" w14:textId="084B3F34" w:rsidR="00525D58" w:rsidRPr="00136E45" w:rsidRDefault="00525D58" w:rsidP="00525D58">
          <w:pPr>
            <w:pStyle w:val="Header"/>
            <w:rPr>
              <w:rFonts w:ascii="Calibri" w:eastAsia="Calibri" w:hAnsi="Calibri"/>
              <w:noProof/>
              <w:sz w:val="22"/>
              <w:szCs w:val="22"/>
              <w:lang w:val="en-GB" w:eastAsia="en-US"/>
            </w:rPr>
          </w:pPr>
        </w:p>
      </w:tc>
      <w:tc>
        <w:tcPr>
          <w:tcW w:w="4886" w:type="dxa"/>
        </w:tcPr>
        <w:p w14:paraId="533F7202" w14:textId="6715B425" w:rsidR="00525D58" w:rsidRPr="00136E45" w:rsidRDefault="00046EB5" w:rsidP="00525D58">
          <w:pPr>
            <w:pStyle w:val="Header"/>
            <w:rPr>
              <w:rFonts w:ascii="Calibri" w:eastAsia="Calibri" w:hAnsi="Calibri"/>
              <w:noProof/>
              <w:sz w:val="22"/>
              <w:szCs w:val="22"/>
              <w:lang w:val="en-GB"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  <w:lang w:val="en-GB" w:eastAsia="en-US"/>
            </w:rPr>
            <w:drawing>
              <wp:anchor distT="0" distB="0" distL="114300" distR="114300" simplePos="0" relativeHeight="251658752" behindDoc="0" locked="0" layoutInCell="1" allowOverlap="1" wp14:anchorId="2ED8F640" wp14:editId="5A594EF7">
                <wp:simplePos x="0" y="0"/>
                <wp:positionH relativeFrom="column">
                  <wp:posOffset>2393111</wp:posOffset>
                </wp:positionH>
                <wp:positionV relativeFrom="paragraph">
                  <wp:posOffset>215445</wp:posOffset>
                </wp:positionV>
                <wp:extent cx="523240" cy="801370"/>
                <wp:effectExtent l="0" t="0" r="0" b="0"/>
                <wp:wrapSquare wrapText="bothSides"/>
                <wp:docPr id="2083679293" name="Picture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240" cy="801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28E3457" w14:textId="77777777" w:rsidR="00525D58" w:rsidRDefault="00525D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79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347D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858F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0B6FDA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7CB14EC"/>
    <w:multiLevelType w:val="hybridMultilevel"/>
    <w:tmpl w:val="44328194"/>
    <w:lvl w:ilvl="0" w:tplc="CA7CB01A">
      <w:start w:val="2024"/>
      <w:numFmt w:val="bullet"/>
      <w:lvlText w:val="-"/>
      <w:lvlJc w:val="left"/>
      <w:pPr>
        <w:ind w:left="720" w:hanging="360"/>
      </w:pPr>
      <w:rPr>
        <w:rFonts w:ascii="Aptos Display" w:eastAsia="Times New Roman" w:hAnsi="Aptos Display" w:cs="Aptos Display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80DE9"/>
    <w:multiLevelType w:val="multilevel"/>
    <w:tmpl w:val="BB508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8566E2"/>
    <w:multiLevelType w:val="multilevel"/>
    <w:tmpl w:val="975C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384F32"/>
    <w:multiLevelType w:val="hybridMultilevel"/>
    <w:tmpl w:val="FFFFFFFF"/>
    <w:lvl w:ilvl="0" w:tplc="3B8CCE1A">
      <w:start w:val="11"/>
      <w:numFmt w:val="bullet"/>
      <w:lvlText w:val=""/>
      <w:lvlJc w:val="left"/>
      <w:pPr>
        <w:ind w:left="750" w:hanging="390"/>
      </w:pPr>
      <w:rPr>
        <w:rFonts w:ascii="Aptos" w:eastAsia="Times New Roman" w:hAnsi="Apto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9228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3D0D2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2B6F67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517107">
    <w:abstractNumId w:val="9"/>
  </w:num>
  <w:num w:numId="2" w16cid:durableId="329451819">
    <w:abstractNumId w:val="1"/>
  </w:num>
  <w:num w:numId="3" w16cid:durableId="1525360093">
    <w:abstractNumId w:val="2"/>
  </w:num>
  <w:num w:numId="4" w16cid:durableId="1387487331">
    <w:abstractNumId w:val="3"/>
  </w:num>
  <w:num w:numId="5" w16cid:durableId="2140874546">
    <w:abstractNumId w:val="10"/>
  </w:num>
  <w:num w:numId="6" w16cid:durableId="1424032776">
    <w:abstractNumId w:val="7"/>
  </w:num>
  <w:num w:numId="7" w16cid:durableId="1738017118">
    <w:abstractNumId w:val="0"/>
  </w:num>
  <w:num w:numId="8" w16cid:durableId="858465587">
    <w:abstractNumId w:val="8"/>
  </w:num>
  <w:num w:numId="9" w16cid:durableId="2079743231">
    <w:abstractNumId w:val="4"/>
  </w:num>
  <w:num w:numId="10" w16cid:durableId="1197893687">
    <w:abstractNumId w:val="5"/>
  </w:num>
  <w:num w:numId="11" w16cid:durableId="17145007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A52"/>
    <w:rsid w:val="00002936"/>
    <w:rsid w:val="000138E3"/>
    <w:rsid w:val="00013C20"/>
    <w:rsid w:val="000170C6"/>
    <w:rsid w:val="00017C95"/>
    <w:rsid w:val="00031C9E"/>
    <w:rsid w:val="00046EB5"/>
    <w:rsid w:val="00072DA7"/>
    <w:rsid w:val="0009006B"/>
    <w:rsid w:val="000D362F"/>
    <w:rsid w:val="000E3D53"/>
    <w:rsid w:val="00105E44"/>
    <w:rsid w:val="001230FE"/>
    <w:rsid w:val="001242CE"/>
    <w:rsid w:val="00125B44"/>
    <w:rsid w:val="00132FE6"/>
    <w:rsid w:val="00136E45"/>
    <w:rsid w:val="00186865"/>
    <w:rsid w:val="00192A8F"/>
    <w:rsid w:val="001B798A"/>
    <w:rsid w:val="001C5374"/>
    <w:rsid w:val="001C5464"/>
    <w:rsid w:val="001C6846"/>
    <w:rsid w:val="001D1239"/>
    <w:rsid w:val="002155E0"/>
    <w:rsid w:val="002676EA"/>
    <w:rsid w:val="0028738B"/>
    <w:rsid w:val="002A0532"/>
    <w:rsid w:val="002A0689"/>
    <w:rsid w:val="002E00E0"/>
    <w:rsid w:val="002E4EAC"/>
    <w:rsid w:val="002F15A8"/>
    <w:rsid w:val="002F29A3"/>
    <w:rsid w:val="002F5E8B"/>
    <w:rsid w:val="002F6EE1"/>
    <w:rsid w:val="00300F93"/>
    <w:rsid w:val="0033531B"/>
    <w:rsid w:val="003405C6"/>
    <w:rsid w:val="00362717"/>
    <w:rsid w:val="00383A18"/>
    <w:rsid w:val="003864E3"/>
    <w:rsid w:val="003901A8"/>
    <w:rsid w:val="003B5B56"/>
    <w:rsid w:val="0041148C"/>
    <w:rsid w:val="00440873"/>
    <w:rsid w:val="00462B3F"/>
    <w:rsid w:val="00476305"/>
    <w:rsid w:val="00483C93"/>
    <w:rsid w:val="004A2CD4"/>
    <w:rsid w:val="004C3224"/>
    <w:rsid w:val="004E18AD"/>
    <w:rsid w:val="004F1F19"/>
    <w:rsid w:val="00525D58"/>
    <w:rsid w:val="005379AA"/>
    <w:rsid w:val="0054446C"/>
    <w:rsid w:val="00555A90"/>
    <w:rsid w:val="00573CF5"/>
    <w:rsid w:val="00582E58"/>
    <w:rsid w:val="005900E7"/>
    <w:rsid w:val="005A2376"/>
    <w:rsid w:val="005B0740"/>
    <w:rsid w:val="005B1F1E"/>
    <w:rsid w:val="005B7C07"/>
    <w:rsid w:val="005D0DBB"/>
    <w:rsid w:val="00622953"/>
    <w:rsid w:val="0063170C"/>
    <w:rsid w:val="0063230D"/>
    <w:rsid w:val="0064027F"/>
    <w:rsid w:val="0064157F"/>
    <w:rsid w:val="006418CE"/>
    <w:rsid w:val="006477C4"/>
    <w:rsid w:val="00654D4C"/>
    <w:rsid w:val="00656B5D"/>
    <w:rsid w:val="00656CB2"/>
    <w:rsid w:val="00674960"/>
    <w:rsid w:val="006B104F"/>
    <w:rsid w:val="006C4359"/>
    <w:rsid w:val="006C57DD"/>
    <w:rsid w:val="006D05C9"/>
    <w:rsid w:val="006E5210"/>
    <w:rsid w:val="00701C9B"/>
    <w:rsid w:val="00716C1F"/>
    <w:rsid w:val="007565A2"/>
    <w:rsid w:val="00770E6C"/>
    <w:rsid w:val="00771B29"/>
    <w:rsid w:val="007914E2"/>
    <w:rsid w:val="00795C33"/>
    <w:rsid w:val="007E6F4F"/>
    <w:rsid w:val="0082552B"/>
    <w:rsid w:val="00846141"/>
    <w:rsid w:val="00854153"/>
    <w:rsid w:val="00870BB2"/>
    <w:rsid w:val="00895D06"/>
    <w:rsid w:val="008A1214"/>
    <w:rsid w:val="008D5654"/>
    <w:rsid w:val="00902B96"/>
    <w:rsid w:val="00912BC8"/>
    <w:rsid w:val="00916307"/>
    <w:rsid w:val="00963311"/>
    <w:rsid w:val="0099436E"/>
    <w:rsid w:val="009A011C"/>
    <w:rsid w:val="009C4093"/>
    <w:rsid w:val="009E5905"/>
    <w:rsid w:val="00A37CE6"/>
    <w:rsid w:val="00A50FBE"/>
    <w:rsid w:val="00A71D09"/>
    <w:rsid w:val="00AA64A4"/>
    <w:rsid w:val="00AA723C"/>
    <w:rsid w:val="00AB0A2C"/>
    <w:rsid w:val="00AD5CCE"/>
    <w:rsid w:val="00B109F7"/>
    <w:rsid w:val="00B50B2B"/>
    <w:rsid w:val="00B7156F"/>
    <w:rsid w:val="00BA4B9A"/>
    <w:rsid w:val="00BA5415"/>
    <w:rsid w:val="00BB56FA"/>
    <w:rsid w:val="00BC178C"/>
    <w:rsid w:val="00BC27BE"/>
    <w:rsid w:val="00BD0519"/>
    <w:rsid w:val="00BE2DC2"/>
    <w:rsid w:val="00BE3C79"/>
    <w:rsid w:val="00BF2EE2"/>
    <w:rsid w:val="00C022C6"/>
    <w:rsid w:val="00C33C32"/>
    <w:rsid w:val="00C95375"/>
    <w:rsid w:val="00CA33B1"/>
    <w:rsid w:val="00CA45E4"/>
    <w:rsid w:val="00CC2476"/>
    <w:rsid w:val="00CC6EDC"/>
    <w:rsid w:val="00CD47FA"/>
    <w:rsid w:val="00CE2965"/>
    <w:rsid w:val="00D51B11"/>
    <w:rsid w:val="00D62718"/>
    <w:rsid w:val="00D65395"/>
    <w:rsid w:val="00D7352F"/>
    <w:rsid w:val="00D801B5"/>
    <w:rsid w:val="00D837C4"/>
    <w:rsid w:val="00DC2FBA"/>
    <w:rsid w:val="00DC63E4"/>
    <w:rsid w:val="00DE09DE"/>
    <w:rsid w:val="00DF46CB"/>
    <w:rsid w:val="00E1247A"/>
    <w:rsid w:val="00E278CB"/>
    <w:rsid w:val="00E4058A"/>
    <w:rsid w:val="00E51F74"/>
    <w:rsid w:val="00E6349E"/>
    <w:rsid w:val="00E82FEA"/>
    <w:rsid w:val="00E94C8F"/>
    <w:rsid w:val="00EA7797"/>
    <w:rsid w:val="00EC254A"/>
    <w:rsid w:val="00EC3A9F"/>
    <w:rsid w:val="00EE094F"/>
    <w:rsid w:val="00EE69CB"/>
    <w:rsid w:val="00EF7F97"/>
    <w:rsid w:val="00F077A2"/>
    <w:rsid w:val="00F558C7"/>
    <w:rsid w:val="00F60F35"/>
    <w:rsid w:val="00F75A52"/>
    <w:rsid w:val="00FB0E3E"/>
    <w:rsid w:val="00FB697F"/>
    <w:rsid w:val="00FD7DA2"/>
    <w:rsid w:val="00FE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5BC72F"/>
  <w14:defaultImageDpi w14:val="0"/>
  <w15:docId w15:val="{A66214DA-90AA-4964-9CD4-EB4EA9C7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FE6"/>
    <w:pPr>
      <w:spacing w:line="259" w:lineRule="auto"/>
      <w:ind w:left="720"/>
      <w:contextualSpacing/>
    </w:pPr>
    <w:rPr>
      <w:kern w:val="0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6749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4960"/>
    <w:pPr>
      <w:spacing w:line="240" w:lineRule="auto"/>
    </w:pPr>
    <w:rPr>
      <w:rFonts w:ascii="Calibri" w:eastAsia="Calibri" w:hAnsi="Calibri"/>
      <w:kern w:val="0"/>
      <w:sz w:val="20"/>
      <w:szCs w:val="20"/>
      <w:lang w:val="en-GB" w:eastAsia="en-US"/>
    </w:rPr>
  </w:style>
  <w:style w:type="character" w:customStyle="1" w:styleId="CommentTextChar">
    <w:name w:val="Comment Text Char"/>
    <w:link w:val="CommentText"/>
    <w:uiPriority w:val="99"/>
    <w:rsid w:val="00674960"/>
    <w:rPr>
      <w:rFonts w:ascii="Calibri" w:eastAsia="Calibri" w:hAnsi="Calibri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6418C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418CE"/>
    <w:rPr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18C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418CE"/>
    <w:rPr>
      <w:kern w:val="2"/>
      <w:sz w:val="24"/>
      <w:szCs w:val="24"/>
    </w:rPr>
  </w:style>
  <w:style w:type="table" w:styleId="TableGrid">
    <w:name w:val="Table Grid"/>
    <w:basedOn w:val="TableNormal"/>
    <w:uiPriority w:val="39"/>
    <w:rsid w:val="006418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05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05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56F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92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mladinskakartica.me/news/vlada-crne-gore-usvojila-program-razvoja-evropske-omladinske-kartice-za-period-2025-202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rategijazamlade.me" TargetMode="Externa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www.undp.org/cnr/montenegro/stories/glas-mladih-koji-mijenja-zajednicu-prica-omladinskog-kluba-kot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me/dokumenta/ca55a604-71b0-4276-898f-c28a8951d82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F732436BD414ABE4F9007290F88BC" ma:contentTypeVersion="33" ma:contentTypeDescription="Create a new document." ma:contentTypeScope="" ma:versionID="23f63ffa27798759ab7c62b38a6a6eea">
  <xsd:schema xmlns:xsd="http://www.w3.org/2001/XMLSchema" xmlns:xs="http://www.w3.org/2001/XMLSchema" xmlns:p="http://schemas.microsoft.com/office/2006/metadata/properties" xmlns:ns2="d9cf0e28-81d2-4dc7-8b10-820d80ed680d" xmlns:ns3="e91d5986-7c29-4ed1-8a54-b8fb378ed474" targetNamespace="http://schemas.microsoft.com/office/2006/metadata/properties" ma:root="true" ma:fieldsID="d59d36cbda82e4f1c8ad758894042b54" ns2:_="" ns3:_="">
    <xsd:import namespace="d9cf0e28-81d2-4dc7-8b10-820d80ed680d"/>
    <xsd:import namespace="e91d5986-7c29-4ed1-8a54-b8fb378ed474"/>
    <xsd:element name="properties">
      <xsd:complexType>
        <xsd:sequence>
          <xsd:element name="documentManagement">
            <xsd:complexType>
              <xsd:all>
                <xsd:element ref="ns2:DocumentCategory" minOccurs="0"/>
                <xsd:element ref="ns2:DocumentType" minOccurs="0"/>
                <xsd:element ref="ns2:FileClassificationMode" minOccurs="0"/>
                <xsd:element ref="ns2:FileNameDescription" minOccurs="0"/>
                <xsd:element ref="ns2:ProjectNumber" minOccurs="0"/>
                <xsd:element ref="ns2:OperatingUnit" minOccurs="0"/>
                <xsd:element ref="ns2:Language" minOccurs="0"/>
                <xsd:element ref="ns2:FunctionalArea" minOccurs="0"/>
                <xsd:element ref="ns2:OutputNumber" minOccurs="0"/>
                <xsd:element ref="ns2:DocumentStatus" minOccurs="0"/>
                <xsd:element ref="ns2:DocCoverageStartDate" minOccurs="0"/>
                <xsd:element ref="ns2:DocCoverageEndDate" minOccurs="0"/>
                <xsd:element ref="ns2:FocusArea" minOccurs="0"/>
                <xsd:element ref="ns2:AuthorName" minOccurs="0"/>
                <xsd:element ref="ns2:OfficeCountry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EventDate" minOccurs="0"/>
                <xsd:element ref="ns2:ProjectDocumentTyp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f0e28-81d2-4dc7-8b10-820d80ed680d" elementFormDefault="qualified">
    <xsd:import namespace="http://schemas.microsoft.com/office/2006/documentManagement/types"/>
    <xsd:import namespace="http://schemas.microsoft.com/office/infopath/2007/PartnerControls"/>
    <xsd:element name="DocumentCategory" ma:index="8" nillable="true" ma:displayName="DocumentCategory" ma:format="Dropdown" ma:indexed="true" ma:internalName="DocumentCategory">
      <xsd:simpleType>
        <xsd:restriction base="dms:Text">
          <xsd:maxLength value="255"/>
        </xsd:restriction>
      </xsd:simpleType>
    </xsd:element>
    <xsd:element name="DocumentType" ma:index="9" nillable="true" ma:displayName="DocumentType" ma:format="Dropdown" ma:indexed="true" ma:internalName="DocumentType">
      <xsd:simpleType>
        <xsd:restriction base="dms:Text">
          <xsd:maxLength value="255"/>
        </xsd:restriction>
      </xsd:simpleType>
    </xsd:element>
    <xsd:element name="FileClassificationMode" ma:index="10" nillable="true" ma:displayName="FileClassificationMode" ma:format="Dropdown" ma:indexed="true" ma:internalName="FileClassificationMode">
      <xsd:simpleType>
        <xsd:restriction base="dms:Text">
          <xsd:maxLength value="255"/>
        </xsd:restriction>
      </xsd:simpleType>
    </xsd:element>
    <xsd:element name="FileNameDescription" ma:index="11" nillable="true" ma:displayName="FileNameDescription" ma:format="Dropdown" ma:indexed="true" ma:internalName="FileNameDescription">
      <xsd:simpleType>
        <xsd:restriction base="dms:Text">
          <xsd:maxLength value="255"/>
        </xsd:restriction>
      </xsd:simpleType>
    </xsd:element>
    <xsd:element name="ProjectNumber" ma:index="12" nillable="true" ma:displayName="ProjectNumber" ma:format="Dropdown" ma:indexed="true" ma:internalName="ProjectNumber">
      <xsd:simpleType>
        <xsd:restriction base="dms:Text">
          <xsd:maxLength value="255"/>
        </xsd:restriction>
      </xsd:simpleType>
    </xsd:element>
    <xsd:element name="OperatingUnit" ma:index="13" nillable="true" ma:displayName="OperatingUnit" ma:format="Dropdown" ma:indexed="true" ma:internalName="OperatingUnit">
      <xsd:simpleType>
        <xsd:restriction base="dms:Text">
          <xsd:maxLength value="255"/>
        </xsd:restriction>
      </xsd:simpleType>
    </xsd:element>
    <xsd:element name="Language" ma:index="14" nillable="true" ma:displayName="Language" ma:format="Dropdown" ma:internalName="Language">
      <xsd:simpleType>
        <xsd:restriction base="dms:Text">
          <xsd:maxLength value="255"/>
        </xsd:restriction>
      </xsd:simpleType>
    </xsd:element>
    <xsd:element name="FunctionalArea" ma:index="15" nillable="true" ma:displayName="FunctionalArea" ma:format="Dropdown" ma:internalName="FunctionalArea">
      <xsd:simpleType>
        <xsd:restriction base="dms:Text">
          <xsd:maxLength value="255"/>
        </xsd:restriction>
      </xsd:simpleType>
    </xsd:element>
    <xsd:element name="OutputNumber" ma:index="16" nillable="true" ma:displayName="OutputNumber" ma:format="Dropdown" ma:indexed="true" ma:internalName="OutputNumber">
      <xsd:simpleType>
        <xsd:restriction base="dms:Text">
          <xsd:maxLength value="255"/>
        </xsd:restriction>
      </xsd:simpleType>
    </xsd:element>
    <xsd:element name="DocumentStatus" ma:index="17" nillable="true" ma:displayName="DocumentStatus" ma:format="Dropdown" ma:internalName="DocumentStatus">
      <xsd:simpleType>
        <xsd:restriction base="dms:Text">
          <xsd:maxLength value="255"/>
        </xsd:restriction>
      </xsd:simpleType>
    </xsd:element>
    <xsd:element name="DocCoverageStartDate" ma:index="18" nillable="true" ma:displayName="DocCoverageStartDate" ma:default="[today]" ma:format="DateOnly" ma:indexed="true" ma:internalName="DocCoverageStartDate">
      <xsd:simpleType>
        <xsd:restriction base="dms:DateTime"/>
      </xsd:simpleType>
    </xsd:element>
    <xsd:element name="DocCoverageEndDate" ma:index="19" nillable="true" ma:displayName="DocCoverageEndDate" ma:format="DateOnly" ma:internalName="DocCoverageEndDate">
      <xsd:simpleType>
        <xsd:restriction base="dms:DateTime"/>
      </xsd:simpleType>
    </xsd:element>
    <xsd:element name="FocusArea" ma:index="20" nillable="true" ma:displayName="FocusArea" ma:format="Dropdown" ma:indexed="true" ma:internalName="FocusArea">
      <xsd:simpleType>
        <xsd:restriction base="dms:Text">
          <xsd:maxLength value="255"/>
        </xsd:restriction>
      </xsd:simpleType>
    </xsd:element>
    <xsd:element name="AuthorName" ma:index="21" nillable="true" ma:displayName="AuthorName" ma:format="Dropdown" ma:indexed="true" ma:internalName="AuthorName">
      <xsd:simpleType>
        <xsd:restriction base="dms:Text">
          <xsd:maxLength value="255"/>
        </xsd:restriction>
      </xsd:simpleType>
    </xsd:element>
    <xsd:element name="OfficeCountry" ma:index="22" nillable="true" ma:displayName="OfficeCountry" ma:format="Dropdown" ma:indexed="true" ma:internalName="OfficeCountry">
      <xsd:simpleType>
        <xsd:restriction base="dms:Text">
          <xsd:maxLength value="255"/>
        </xsd:restriction>
      </xsd:simple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ventDate" ma:index="36" nillable="true" ma:displayName="EventDate" ma:format="DateOnly" ma:internalName="EventDate">
      <xsd:simpleType>
        <xsd:restriction base="dms:DateTime"/>
      </xsd:simpleType>
    </xsd:element>
    <xsd:element name="ProjectDocumentTypes" ma:index="37" nillable="true" ma:displayName="ProjectDocumentTypes" ma:format="Dropdown" ma:internalName="ProjectDocumentTypes">
      <xsd:simpleType>
        <xsd:restriction base="dms:Choice">
          <xsd:enumeration value="Project Board Meeting Minutes"/>
          <xsd:enumeration value="Monitoring/Field visit report"/>
          <xsd:enumeration value="Sustainability Plan"/>
          <xsd:enumeration value="Combined Delivery reports (CDR)"/>
        </xsd:restriction>
      </xsd:simpleType>
    </xsd:element>
    <xsd:element name="MediaServiceBillingMetadata" ma:index="3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d5986-7c29-4ed1-8a54-b8fb378ed474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89ecd518-8760-4857-902e-5583cb61199f}" ma:internalName="TaxCatchAll" ma:showField="CatchAllData" ma:web="e91d5986-7c29-4ed1-8a54-b8fb378ed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iceCountry xmlns="d9cf0e28-81d2-4dc7-8b10-820d80ed680d">B0587 - Montenegro - Podjorica</OfficeCountry>
    <DocumentStatus xmlns="d9cf0e28-81d2-4dc7-8b10-820d80ed680d">Final</DocumentStatus>
    <DocCoverageEndDate xmlns="d9cf0e28-81d2-4dc7-8b10-820d80ed680d">2025-12-31T05:00:00+00:00</DocCoverageEndDate>
    <TaxCatchAll xmlns="e91d5986-7c29-4ed1-8a54-b8fb378ed474" xsi:nil="true"/>
    <EventDate xmlns="d9cf0e28-81d2-4dc7-8b10-820d80ed680d" xsi:nil="true"/>
    <ProjectDocumentTypes xmlns="d9cf0e28-81d2-4dc7-8b10-820d80ed680d" xsi:nil="true"/>
    <FunctionalArea xmlns="d9cf0e28-81d2-4dc7-8b10-820d80ed680d">Programme and Project</FunctionalArea>
    <FileNameDescription xmlns="d9cf0e28-81d2-4dc7-8b10-820d80ed680d">Progress report</FileNameDescription>
    <ProjectNumber xmlns="d9cf0e28-81d2-4dc7-8b10-820d80ed680d">00140240</ProjectNumber>
    <DocumentType xmlns="d9cf0e28-81d2-4dc7-8b10-820d80ed680d">Progress Report</DocumentType>
    <Language xmlns="d9cf0e28-81d2-4dc7-8b10-820d80ed680d">English</Language>
    <AuthorName xmlns="d9cf0e28-81d2-4dc7-8b10-820d80ed680d">UNDP</AuthorName>
    <DocumentCategory xmlns="d9cf0e28-81d2-4dc7-8b10-820d80ed680d">Project</DocumentCategory>
    <OperatingUnit xmlns="d9cf0e28-81d2-4dc7-8b10-820d80ed680d">UNDP-MNE</OperatingUnit>
    <lcf76f155ced4ddcb4097134ff3c332f xmlns="d9cf0e28-81d2-4dc7-8b10-820d80ed680d">
      <Terms xmlns="http://schemas.microsoft.com/office/infopath/2007/PartnerControls"/>
    </lcf76f155ced4ddcb4097134ff3c332f>
    <FocusArea xmlns="d9cf0e28-81d2-4dc7-8b10-820d80ed680d">Human Development</FocusArea>
    <DocCoverageStartDate xmlns="d9cf0e28-81d2-4dc7-8b10-820d80ed680d">2025-01-01T00:00:00+00:00</DocCoverageStartDate>
    <FileClassificationMode xmlns="d9cf0e28-81d2-4dc7-8b10-820d80ed680d">Public</FileClassificationMode>
    <OutputNumber xmlns="d9cf0e28-81d2-4dc7-8b10-820d80ed680d">00129495</OutputNumber>
  </documentManagement>
</p:properties>
</file>

<file path=customXml/itemProps1.xml><?xml version="1.0" encoding="utf-8"?>
<ds:datastoreItem xmlns:ds="http://schemas.openxmlformats.org/officeDocument/2006/customXml" ds:itemID="{0A2D955B-824E-4872-8019-66B6D436131F}"/>
</file>

<file path=customXml/itemProps2.xml><?xml version="1.0" encoding="utf-8"?>
<ds:datastoreItem xmlns:ds="http://schemas.openxmlformats.org/officeDocument/2006/customXml" ds:itemID="{0731579B-E498-4FA1-B838-92C36CAA6032}"/>
</file>

<file path=customXml/itemProps3.xml><?xml version="1.0" encoding="utf-8"?>
<ds:datastoreItem xmlns:ds="http://schemas.openxmlformats.org/officeDocument/2006/customXml" ds:itemID="{AA9EB5A9-DE63-4D6C-8050-BD7257958B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1597</Words>
  <Characters>9105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 report</dc:title>
  <dc:subject/>
  <dc:creator>Dejana Dizdar</dc:creator>
  <cp:keywords/>
  <dc:description/>
  <cp:lastModifiedBy>Jelena Miljanic</cp:lastModifiedBy>
  <cp:revision>4</cp:revision>
  <dcterms:created xsi:type="dcterms:W3CDTF">2026-06-02T07:53:00Z</dcterms:created>
  <dcterms:modified xsi:type="dcterms:W3CDTF">2026-06-02T07:55:00Z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0x010100155F732436BD414ABE4F9007290F88BC</vt:lpwstr>
  </property>
  <property fmtid="{D5CDD505-2E9C-101B-9397-08002B2CF9AE}" pid="3" name="MediaServiceImageTags">
    <vt:lpwstr/>
  </property>
</Properties>
</file>